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37" w:rsidRPr="00707114" w:rsidRDefault="005A7337" w:rsidP="005A7337">
      <w:pPr>
        <w:pStyle w:val="MMU1"/>
      </w:pPr>
      <w:r w:rsidRPr="00707114">
        <w:t xml:space="preserve">Leoni </w:t>
      </w:r>
      <w:r>
        <w:t xml:space="preserve">nach </w:t>
      </w:r>
      <w:r w:rsidRPr="00707114">
        <w:t xml:space="preserve">drei Quartalen 2016 operativ im Plan </w:t>
      </w:r>
    </w:p>
    <w:p w:rsidR="005A7337" w:rsidRPr="00DE6D40" w:rsidRDefault="005A7337" w:rsidP="005A7337">
      <w:pPr>
        <w:pStyle w:val="MMU2"/>
        <w:rPr>
          <w:b/>
        </w:rPr>
      </w:pPr>
      <w:r w:rsidRPr="00707114">
        <w:t xml:space="preserve">Bereinigtes EBIT leicht </w:t>
      </w:r>
      <w:r>
        <w:t xml:space="preserve">über Vorjahresniveau </w:t>
      </w:r>
      <w:r w:rsidRPr="00DE6D40">
        <w:t xml:space="preserve"> </w:t>
      </w:r>
    </w:p>
    <w:p w:rsidR="005A7337" w:rsidRDefault="005A7337" w:rsidP="005A7337">
      <w:pPr>
        <w:pStyle w:val="MMVorspann"/>
      </w:pPr>
      <w:r>
        <w:t>Nürnberg</w:t>
      </w:r>
      <w:r w:rsidRPr="009A1070">
        <w:t xml:space="preserve">, </w:t>
      </w:r>
      <w:r>
        <w:t>16. November</w:t>
      </w:r>
      <w:r w:rsidRPr="009A1070">
        <w:t xml:space="preserve"> 20</w:t>
      </w:r>
      <w:r>
        <w:t>16</w:t>
      </w:r>
      <w:r w:rsidRPr="009A1070">
        <w:t xml:space="preserve"> – </w:t>
      </w:r>
      <w:r>
        <w:t xml:space="preserve">Leoni, der </w:t>
      </w:r>
      <w:r w:rsidRPr="0099285A">
        <w:t xml:space="preserve">führende </w:t>
      </w:r>
      <w:r>
        <w:t xml:space="preserve">europäische 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>
        <w:t>, entwickelte sich in den ersten neun Monaten 2016 operativ im Rahmen der Erwartungen: Das Unternehmen erzielte ein leichtes organisches Wachstum, das aber durch negative Effekte aus Kupferpreis- und Wechselkursveränderungen</w:t>
      </w:r>
      <w:r w:rsidRPr="00DE6D40">
        <w:t xml:space="preserve"> </w:t>
      </w:r>
      <w:r>
        <w:t xml:space="preserve">überkompensiert wurde. Der Konzernumsatz lag deshalb mit </w:t>
      </w:r>
      <w:r w:rsidRPr="00DE6D40">
        <w:t xml:space="preserve">3.309 Mio. </w:t>
      </w:r>
      <w:r>
        <w:t xml:space="preserve">Euro rund </w:t>
      </w:r>
      <w:r w:rsidRPr="00DE6D40">
        <w:t xml:space="preserve">2 Prozent </w:t>
      </w:r>
      <w:r>
        <w:t>unter dem vergleichbaren Vorjahreswert (Vorjahr: 3.376 Mio. Euro)</w:t>
      </w:r>
      <w:r w:rsidRPr="00DE6D40">
        <w:t xml:space="preserve">. </w:t>
      </w:r>
      <w:r>
        <w:t>Dav</w:t>
      </w:r>
      <w:r w:rsidRPr="00DE6D40">
        <w:t>on entfielen 1.07</w:t>
      </w:r>
      <w:r>
        <w:t>1</w:t>
      </w:r>
      <w:r w:rsidRPr="00DE6D40">
        <w:t xml:space="preserve"> Mio. </w:t>
      </w:r>
      <w:r>
        <w:t>Euro</w:t>
      </w:r>
      <w:r w:rsidRPr="00DE6D40">
        <w:t xml:space="preserve"> auf das dritte Quartal (Vorjahr: 1.11</w:t>
      </w:r>
      <w:r>
        <w:t>2 Mio. Euro).</w:t>
      </w:r>
      <w:r w:rsidRPr="00DE6D40">
        <w:t xml:space="preserve"> Das Ergebnis vor Zinsen und Steuern (EBIT) </w:t>
      </w:r>
      <w:r>
        <w:t xml:space="preserve">war durch einen im August 2016 aufgedeckten Betrugsfall mit rund 40 Mio. Euro belastet und ging deshalb im dritten Quartal </w:t>
      </w:r>
      <w:r w:rsidRPr="00DE6D40">
        <w:t xml:space="preserve">auf -12,7 Mio. </w:t>
      </w:r>
      <w:r>
        <w:t>Euro</w:t>
      </w:r>
      <w:r w:rsidRPr="00DE6D40">
        <w:t xml:space="preserve"> zurück (Vorjahr: 29,8 Mio. </w:t>
      </w:r>
      <w:r>
        <w:t>Euro</w:t>
      </w:r>
      <w:r w:rsidRPr="00DE6D40">
        <w:t>).</w:t>
      </w:r>
      <w:r>
        <w:t xml:space="preserve"> </w:t>
      </w:r>
    </w:p>
    <w:p w:rsidR="005A7337" w:rsidRPr="008C4E22" w:rsidRDefault="005A7337" w:rsidP="005A7337">
      <w:pPr>
        <w:pStyle w:val="MMVorspann"/>
        <w:rPr>
          <w:b w:val="0"/>
        </w:rPr>
      </w:pPr>
      <w:r w:rsidRPr="008C4E22">
        <w:rPr>
          <w:b w:val="0"/>
        </w:rPr>
        <w:t xml:space="preserve">In den ersten neun Monaten enthielt das EBIT darüber hinaus hohe  Restrukturierungsaufwendungen von 23,5 Mio. Euro (Vorjahr: 1,5 Mio. Euro) und belief sich auf 49,2 Mio. Euro (Vorjahr: 115,3 Mio. Euro); der Konzernüberschuss nahm auf 11,6 Mio. Euro ab (Vorjahr: 67,5 Mio. Euro). Rein operativ entsprach die Ertragsentwicklung den Erwartungen: Das bereinigte EBIT </w:t>
      </w:r>
      <w:r>
        <w:rPr>
          <w:b w:val="0"/>
        </w:rPr>
        <w:t xml:space="preserve">nahm </w:t>
      </w:r>
      <w:r w:rsidRPr="008C4E22">
        <w:rPr>
          <w:b w:val="0"/>
        </w:rPr>
        <w:t>von Januar bis September 2016 leicht auf 125,6 Mio. Euro (Vorjahr: 124,7 Mio. Euro) und im dritten Quartal auf 34,8 Mio. Euro (Vorjahr: 32,2 Mio. Euro)</w:t>
      </w:r>
      <w:r>
        <w:rPr>
          <w:b w:val="0"/>
        </w:rPr>
        <w:t xml:space="preserve"> zu</w:t>
      </w:r>
      <w:r w:rsidRPr="008C4E22">
        <w:rPr>
          <w:b w:val="0"/>
        </w:rPr>
        <w:t xml:space="preserve">. </w:t>
      </w:r>
    </w:p>
    <w:p w:rsidR="005A7337" w:rsidRPr="00C60A29" w:rsidRDefault="005A7337" w:rsidP="005A7337">
      <w:pPr>
        <w:pStyle w:val="MMVorspann"/>
        <w:rPr>
          <w:b w:val="0"/>
        </w:rPr>
      </w:pPr>
      <w:r w:rsidRPr="00E125A9">
        <w:rPr>
          <w:b w:val="0"/>
        </w:rPr>
        <w:t>Die internen Untersuchungen zum Betrugsfall</w:t>
      </w:r>
      <w:r>
        <w:rPr>
          <w:b w:val="0"/>
        </w:rPr>
        <w:t xml:space="preserve"> </w:t>
      </w:r>
      <w:r w:rsidRPr="00E125A9">
        <w:rPr>
          <w:b w:val="0"/>
        </w:rPr>
        <w:t>sind inzwischen weit</w:t>
      </w:r>
      <w:r>
        <w:rPr>
          <w:b w:val="0"/>
        </w:rPr>
        <w:t xml:space="preserve"> fortgeschritten. </w:t>
      </w:r>
      <w:r w:rsidRPr="00E125A9">
        <w:rPr>
          <w:b w:val="0"/>
        </w:rPr>
        <w:t xml:space="preserve">Die externen Ermittlungen laufen noch. </w:t>
      </w:r>
      <w:r>
        <w:rPr>
          <w:b w:val="0"/>
        </w:rPr>
        <w:t>Leoni</w:t>
      </w:r>
      <w:r w:rsidRPr="00E125A9">
        <w:rPr>
          <w:b w:val="0"/>
        </w:rPr>
        <w:t xml:space="preserve"> prüft </w:t>
      </w:r>
      <w:r>
        <w:rPr>
          <w:b w:val="0"/>
        </w:rPr>
        <w:t>weiterhin</w:t>
      </w:r>
      <w:r w:rsidRPr="00E125A9">
        <w:rPr>
          <w:b w:val="0"/>
        </w:rPr>
        <w:t xml:space="preserve"> die Geltendmachung von Ersatzansprüchen</w:t>
      </w:r>
      <w:r>
        <w:rPr>
          <w:b w:val="0"/>
        </w:rPr>
        <w:t>, wobei e</w:t>
      </w:r>
      <w:r w:rsidRPr="00E125A9">
        <w:rPr>
          <w:b w:val="0"/>
        </w:rPr>
        <w:t>ine Klärung im laufenden</w:t>
      </w:r>
      <w:r w:rsidRPr="00C60A29">
        <w:rPr>
          <w:b w:val="0"/>
        </w:rPr>
        <w:t xml:space="preserve"> Geschäftsjahr </w:t>
      </w:r>
      <w:r>
        <w:rPr>
          <w:b w:val="0"/>
        </w:rPr>
        <w:t xml:space="preserve">nicht </w:t>
      </w:r>
      <w:r w:rsidRPr="00C60A29">
        <w:rPr>
          <w:b w:val="0"/>
        </w:rPr>
        <w:t>zu erwarten</w:t>
      </w:r>
      <w:r>
        <w:rPr>
          <w:b w:val="0"/>
        </w:rPr>
        <w:t xml:space="preserve"> ist. </w:t>
      </w:r>
    </w:p>
    <w:p w:rsidR="005A7337" w:rsidRPr="008779CE" w:rsidRDefault="005A7337" w:rsidP="005A7337">
      <w:pPr>
        <w:pStyle w:val="MMZwischenberschrift"/>
      </w:pPr>
      <w:r w:rsidRPr="008779CE">
        <w:t>W</w:t>
      </w:r>
      <w:r>
        <w:t>SD: Neunmonats-Umsatz wächst leicht auf 2 Mrd. Euro</w:t>
      </w:r>
    </w:p>
    <w:p w:rsidR="005A7337" w:rsidRDefault="005A7337" w:rsidP="005A7337">
      <w:pPr>
        <w:pStyle w:val="MMFlietext"/>
      </w:pPr>
      <w:r>
        <w:t>Im</w:t>
      </w:r>
      <w:r w:rsidRPr="004852F7">
        <w:t xml:space="preserve"> Unternehmensbereich </w:t>
      </w:r>
      <w:proofErr w:type="spellStart"/>
      <w:r w:rsidRPr="004852F7">
        <w:t>Wiring</w:t>
      </w:r>
      <w:proofErr w:type="spellEnd"/>
      <w:r w:rsidRPr="004852F7">
        <w:t xml:space="preserve"> Systems (WSD) </w:t>
      </w:r>
      <w:r>
        <w:t xml:space="preserve">stieg der Umsatz </w:t>
      </w:r>
      <w:r w:rsidRPr="004852F7">
        <w:t xml:space="preserve">in den ersten </w:t>
      </w:r>
      <w:r>
        <w:t>drei Quartalen</w:t>
      </w:r>
      <w:r w:rsidRPr="004852F7">
        <w:t xml:space="preserve"> 2016 um rund 1 Prozent auf 2.005 Mio. </w:t>
      </w:r>
      <w:r>
        <w:t xml:space="preserve">Euro (Vorjahr: 1.987 Mio. Euro), wozu das dritte Quartal </w:t>
      </w:r>
      <w:r w:rsidRPr="004852F7">
        <w:t xml:space="preserve">638 Mio. </w:t>
      </w:r>
      <w:r>
        <w:t>Euro</w:t>
      </w:r>
      <w:r w:rsidRPr="004852F7">
        <w:t xml:space="preserve"> (Vorjahr: 6</w:t>
      </w:r>
      <w:r>
        <w:t>50</w:t>
      </w:r>
      <w:r w:rsidRPr="004852F7">
        <w:t xml:space="preserve"> Mio. </w:t>
      </w:r>
      <w:r>
        <w:lastRenderedPageBreak/>
        <w:t>Euro</w:t>
      </w:r>
      <w:r w:rsidRPr="004852F7">
        <w:t xml:space="preserve">) </w:t>
      </w:r>
      <w:r>
        <w:t xml:space="preserve">beitrug. Dank der anhaltend guten Bordnetz- und Kabelsatz-Nachfrage der </w:t>
      </w:r>
      <w:r w:rsidRPr="00BE3609">
        <w:t>europäischen und asiatischen Automobilhersteller</w:t>
      </w:r>
      <w:r>
        <w:t xml:space="preserve"> sowie der </w:t>
      </w:r>
      <w:r w:rsidRPr="00BE3609">
        <w:t xml:space="preserve">internationalen Zulieferindustrie </w:t>
      </w:r>
      <w:r>
        <w:t xml:space="preserve">konnte das Segment WSD </w:t>
      </w:r>
      <w:r w:rsidRPr="004852F7">
        <w:t>im gesamten Berichtszeitraum</w:t>
      </w:r>
      <w:r>
        <w:t xml:space="preserve"> aus eigener Kraft um rund 4 Prozent zulegen. Allerdings wurde der Zuwachs </w:t>
      </w:r>
      <w:r w:rsidRPr="004852F7">
        <w:t>durch negative Kupferpreis- und Währungsumrechnungseffekte geschmälert.</w:t>
      </w:r>
      <w:r>
        <w:t xml:space="preserve"> Außerdem war </w:t>
      </w:r>
      <w:r w:rsidRPr="004852F7">
        <w:t xml:space="preserve">der Umsatz des chinesischen Joint Ventures in </w:t>
      </w:r>
      <w:proofErr w:type="spellStart"/>
      <w:r w:rsidRPr="004852F7">
        <w:t>Langfang</w:t>
      </w:r>
      <w:proofErr w:type="spellEnd"/>
      <w:r w:rsidRPr="004852F7">
        <w:t xml:space="preserve">, das seit Dezember 2015 at </w:t>
      </w:r>
      <w:proofErr w:type="spellStart"/>
      <w:r w:rsidRPr="004852F7">
        <w:t>equity</w:t>
      </w:r>
      <w:proofErr w:type="spellEnd"/>
      <w:r w:rsidRPr="004852F7">
        <w:t xml:space="preserve"> in den Konzernabschluss einbezogen wird, i</w:t>
      </w:r>
      <w:r>
        <w:t>m Gegensatz zum Vorjahr</w:t>
      </w:r>
      <w:r w:rsidRPr="004852F7">
        <w:t xml:space="preserve"> nicht mehr im Geschäftsvolumen enthalten</w:t>
      </w:r>
      <w:r>
        <w:t>.</w:t>
      </w:r>
      <w:r w:rsidRPr="004852F7">
        <w:t xml:space="preserve"> </w:t>
      </w:r>
      <w:r>
        <w:t>Das Bereichs-EBIT belief sich v</w:t>
      </w:r>
      <w:r w:rsidRPr="0028638B">
        <w:t xml:space="preserve">on Januar bis September 2016 </w:t>
      </w:r>
      <w:r>
        <w:t xml:space="preserve">auf </w:t>
      </w:r>
      <w:r w:rsidRPr="0028638B">
        <w:t xml:space="preserve">26,6 Mio. </w:t>
      </w:r>
      <w:r>
        <w:t>Euro</w:t>
      </w:r>
      <w:r w:rsidRPr="0028638B">
        <w:t xml:space="preserve"> (Vorjahr: 58,7 Mio. </w:t>
      </w:r>
      <w:r>
        <w:t>Euro</w:t>
      </w:r>
      <w:r w:rsidRPr="0028638B">
        <w:t>)</w:t>
      </w:r>
      <w:r>
        <w:t xml:space="preserve">. Es beinhaltete hohe </w:t>
      </w:r>
      <w:r w:rsidRPr="0028638B">
        <w:t xml:space="preserve">Restrukturierungsaufwendungen von 22,1 Mio. </w:t>
      </w:r>
      <w:r>
        <w:t>Euro</w:t>
      </w:r>
      <w:r w:rsidRPr="0028638B">
        <w:t xml:space="preserve"> (Vorjahr: 1,1 Mio. </w:t>
      </w:r>
      <w:r>
        <w:t>Euro</w:t>
      </w:r>
      <w:r w:rsidRPr="0028638B">
        <w:t xml:space="preserve">) für die </w:t>
      </w:r>
      <w:r>
        <w:t xml:space="preserve">umfassende </w:t>
      </w:r>
      <w:r w:rsidRPr="0028638B">
        <w:t>Reorganisation de</w:t>
      </w:r>
      <w:r>
        <w:t xml:space="preserve">r Division. </w:t>
      </w:r>
      <w:r w:rsidRPr="0028638B">
        <w:t xml:space="preserve">Im dritten Quartal lag das EBIT bei 4,5 Mio. </w:t>
      </w:r>
      <w:r>
        <w:t>Euro</w:t>
      </w:r>
      <w:r w:rsidRPr="0028638B">
        <w:t xml:space="preserve"> (Vorjahr: 5,8 Mio. </w:t>
      </w:r>
      <w:r>
        <w:t>Euro</w:t>
      </w:r>
      <w:r w:rsidRPr="0028638B">
        <w:t xml:space="preserve">). </w:t>
      </w:r>
    </w:p>
    <w:p w:rsidR="005A7337" w:rsidRPr="008B1883" w:rsidRDefault="005A7337" w:rsidP="005A7337">
      <w:pPr>
        <w:pStyle w:val="MMZwischenberschrift"/>
      </w:pPr>
      <w:r>
        <w:t xml:space="preserve">WCS: EBIT legt bis Ende September um 11 Prozent zu </w:t>
      </w:r>
    </w:p>
    <w:p w:rsidR="005A7337" w:rsidRDefault="005A7337" w:rsidP="005A7337">
      <w:pPr>
        <w:pStyle w:val="MMFlietext"/>
      </w:pPr>
      <w:r>
        <w:t>Der</w:t>
      </w:r>
      <w:r w:rsidRPr="00E3111E">
        <w:t xml:space="preserve"> Unternehmensbereich </w:t>
      </w:r>
      <w:proofErr w:type="spellStart"/>
      <w:r w:rsidRPr="00E3111E">
        <w:t>Wire</w:t>
      </w:r>
      <w:proofErr w:type="spellEnd"/>
      <w:r w:rsidRPr="00E3111E">
        <w:t xml:space="preserve"> &amp; Cable Solutions (WCS) </w:t>
      </w:r>
      <w:r>
        <w:t xml:space="preserve">verzeichnete sowohl im </w:t>
      </w:r>
      <w:r w:rsidRPr="00E3111E">
        <w:t xml:space="preserve">dritten Quartal als auch in den ersten neun Monaten 2016 </w:t>
      </w:r>
      <w:r>
        <w:t>ein organisches Wachstum, das jedoch durch</w:t>
      </w:r>
      <w:r w:rsidRPr="00E3111E">
        <w:t xml:space="preserve"> </w:t>
      </w:r>
      <w:r>
        <w:t xml:space="preserve">die </w:t>
      </w:r>
      <w:r w:rsidRPr="00E3111E">
        <w:t>negative</w:t>
      </w:r>
      <w:r>
        <w:t>n</w:t>
      </w:r>
      <w:r w:rsidRPr="00E3111E">
        <w:t xml:space="preserve"> Kupferpreis- und Währungsumrechnungseffekte </w:t>
      </w:r>
      <w:r>
        <w:t>überkompensiert wurde.</w:t>
      </w:r>
      <w:r w:rsidRPr="00E3111E">
        <w:t xml:space="preserve"> Deshalb lag der </w:t>
      </w:r>
      <w:r>
        <w:t>Segment-</w:t>
      </w:r>
      <w:r w:rsidRPr="00E3111E">
        <w:t xml:space="preserve">Umsatz von Juli bis September 2016 mit 433 Mio. </w:t>
      </w:r>
      <w:r>
        <w:t>Euro</w:t>
      </w:r>
      <w:r w:rsidRPr="00E3111E">
        <w:t xml:space="preserve"> (Vorjahr: 462 Mio. </w:t>
      </w:r>
      <w:r>
        <w:t>Euro</w:t>
      </w:r>
      <w:r w:rsidRPr="00E3111E">
        <w:t>) und in den ersten drei Quartalen mit 1.30</w:t>
      </w:r>
      <w:r>
        <w:t>4</w:t>
      </w:r>
      <w:r w:rsidRPr="00E3111E">
        <w:t xml:space="preserve"> Mio. </w:t>
      </w:r>
      <w:r>
        <w:t>Euro</w:t>
      </w:r>
      <w:r w:rsidRPr="00E3111E">
        <w:t xml:space="preserve"> (Vorjahr: 1.38</w:t>
      </w:r>
      <w:r>
        <w:t>9</w:t>
      </w:r>
      <w:r w:rsidRPr="00E3111E">
        <w:t xml:space="preserve"> Mio. </w:t>
      </w:r>
      <w:r>
        <w:t>Euro</w:t>
      </w:r>
      <w:r w:rsidRPr="00E3111E">
        <w:t>) jeweils unter den 2015er Vergleichswerten.</w:t>
      </w:r>
      <w:r>
        <w:t xml:space="preserve"> Das gute Geschäft mit Fahrzeugspezialleitungen </w:t>
      </w:r>
      <w:r w:rsidRPr="00C41345">
        <w:t xml:space="preserve">und </w:t>
      </w:r>
      <w:r>
        <w:t>Kabell</w:t>
      </w:r>
      <w:r w:rsidRPr="00C41345">
        <w:t xml:space="preserve">ösungen für Medizintechnik- und </w:t>
      </w:r>
      <w:proofErr w:type="spellStart"/>
      <w:r w:rsidRPr="00C41345">
        <w:t>Robotikanwendungen</w:t>
      </w:r>
      <w:proofErr w:type="spellEnd"/>
      <w:r>
        <w:t xml:space="preserve"> führte in den ersten neun Monaten zu einer deutlichen Verbesserung des Bereichs-EBIT </w:t>
      </w:r>
      <w:r w:rsidRPr="00C41345">
        <w:t xml:space="preserve">um </w:t>
      </w:r>
      <w:r>
        <w:t>rund</w:t>
      </w:r>
      <w:r w:rsidRPr="00C41345">
        <w:t xml:space="preserve"> </w:t>
      </w:r>
      <w:r>
        <w:t>11</w:t>
      </w:r>
      <w:r w:rsidRPr="00C41345">
        <w:t xml:space="preserve"> Prozent auf 62,5 Mio. </w:t>
      </w:r>
      <w:r>
        <w:t>Euro</w:t>
      </w:r>
      <w:r w:rsidRPr="00C41345">
        <w:t xml:space="preserve"> (Vorjahr: 56,5 Mio. </w:t>
      </w:r>
      <w:r>
        <w:t>Euro</w:t>
      </w:r>
      <w:r w:rsidRPr="00C41345">
        <w:t xml:space="preserve">). Hiervon entfielen 22,8 Mio. </w:t>
      </w:r>
      <w:r>
        <w:t>Euro</w:t>
      </w:r>
      <w:r w:rsidRPr="00C41345">
        <w:t xml:space="preserve"> (Vorjahr: 24,1 Mio. </w:t>
      </w:r>
      <w:r>
        <w:t>Euro</w:t>
      </w:r>
      <w:r w:rsidRPr="00C41345">
        <w:t>) auf das dritte Quartal.</w:t>
      </w:r>
    </w:p>
    <w:p w:rsidR="005A7337" w:rsidRPr="00F4407C" w:rsidRDefault="005A7337" w:rsidP="005A7337">
      <w:pPr>
        <w:pStyle w:val="MMZwischenberschrift"/>
      </w:pPr>
      <w:r>
        <w:t xml:space="preserve">Umsatz- und EBIT-Prognose für das </w:t>
      </w:r>
      <w:r w:rsidRPr="00F4407C">
        <w:t xml:space="preserve">Gesamtjahr </w:t>
      </w:r>
      <w:r>
        <w:t>bestätigt</w:t>
      </w:r>
    </w:p>
    <w:p w:rsidR="005A7337" w:rsidRDefault="005A7337" w:rsidP="005A7337">
      <w:pPr>
        <w:pStyle w:val="MMFlietext"/>
      </w:pPr>
      <w:r w:rsidRPr="007928D3">
        <w:t xml:space="preserve">Der Vorstand der </w:t>
      </w:r>
      <w:r>
        <w:t>Leoni</w:t>
      </w:r>
      <w:r w:rsidRPr="007928D3">
        <w:t xml:space="preserve"> AG geht </w:t>
      </w:r>
      <w:r>
        <w:t xml:space="preserve">weiterhin </w:t>
      </w:r>
      <w:r w:rsidRPr="007928D3">
        <w:t xml:space="preserve">davon aus, </w:t>
      </w:r>
      <w:r>
        <w:t xml:space="preserve">im Gesamtjahr 2016  einen Konzernumsatz von rund 4,4 Mrd. Euro (Vorjahr: 4,5 Mrd. Euro) und ein EBIT von circa 65 Mio. Euro (Vorjahr: 151,3 Mio. Euro) zu erreichen. Das Ergebnis beinhaltet geplante Restrukturierungsaufwendungen von rund 30 </w:t>
      </w:r>
      <w:r>
        <w:lastRenderedPageBreak/>
        <w:t xml:space="preserve">Mio. Euro und die Belastung aus dem Betrugsfall von circa 40 Mio. Euro, während der Vorjahreswert einen positiven Sondereffekt von 19,6 Mio. Euro aus dem Verkauf der Anteile der Gesellschaft in </w:t>
      </w:r>
      <w:proofErr w:type="spellStart"/>
      <w:r>
        <w:t>Langfang</w:t>
      </w:r>
      <w:proofErr w:type="spellEnd"/>
      <w:r>
        <w:t xml:space="preserve">, China, enthielt. </w:t>
      </w:r>
    </w:p>
    <w:p w:rsidR="005A7337" w:rsidRPr="0057627B" w:rsidRDefault="005A7337" w:rsidP="005A7337">
      <w:pPr>
        <w:pStyle w:val="MMFlietext"/>
        <w:rPr>
          <w:i/>
        </w:rPr>
      </w:pPr>
      <w:r w:rsidRPr="002A0BC5">
        <w:rPr>
          <w:i/>
        </w:rPr>
        <w:t>(</w:t>
      </w:r>
      <w:r>
        <w:rPr>
          <w:i/>
        </w:rPr>
        <w:t>4.314</w:t>
      </w:r>
      <w:r w:rsidRPr="0057627B">
        <w:rPr>
          <w:i/>
        </w:rPr>
        <w:t xml:space="preserve"> Anschläge inkl. Leerzeichen)</w:t>
      </w:r>
    </w:p>
    <w:p w:rsidR="005A7337" w:rsidRPr="009714B0" w:rsidRDefault="005A7337" w:rsidP="005A7337">
      <w:pPr>
        <w:pStyle w:val="MMKurzprofilberschrift"/>
        <w:spacing w:after="120"/>
      </w:pPr>
      <w:r w:rsidRPr="009714B0">
        <w:t>Leoni-Konzernzahlen im Überblick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6"/>
        <w:gridCol w:w="802"/>
        <w:gridCol w:w="803"/>
        <w:gridCol w:w="804"/>
        <w:gridCol w:w="803"/>
        <w:gridCol w:w="803"/>
        <w:gridCol w:w="804"/>
      </w:tblGrid>
      <w:tr w:rsidR="005A7337" w:rsidTr="00E806C4"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Pr="009A20E3" w:rsidRDefault="005A7337" w:rsidP="00E806C4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A20E3">
              <w:rPr>
                <w:rFonts w:ascii="Arial" w:hAnsi="Arial" w:cs="Arial"/>
                <w:b/>
                <w:sz w:val="18"/>
                <w:szCs w:val="18"/>
              </w:rPr>
              <w:t>Kennzahlen Konzern</w:t>
            </w:r>
          </w:p>
          <w:p w:rsidR="005A7337" w:rsidRPr="009A20E3" w:rsidRDefault="005A7337" w:rsidP="00E806C4">
            <w:pPr>
              <w:tabs>
                <w:tab w:val="lef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37" w:rsidRDefault="005A7337" w:rsidP="00E806C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Quartal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37" w:rsidRDefault="005A7337" w:rsidP="00E806C4">
            <w:pPr>
              <w:tabs>
                <w:tab w:val="left" w:pos="8505"/>
              </w:tabs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-3. Quartal</w:t>
            </w:r>
          </w:p>
        </w:tc>
      </w:tr>
      <w:tr w:rsidR="005A7337" w:rsidTr="00E806C4"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37" w:rsidRDefault="005A7337" w:rsidP="00E806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337" w:rsidRDefault="005A7337" w:rsidP="00E806C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Default="005A7337" w:rsidP="00E806C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37" w:rsidRDefault="005A7337" w:rsidP="00E806C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Veränd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337" w:rsidRDefault="005A7337" w:rsidP="00E806C4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Veränd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5A7337" w:rsidTr="00E806C4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Umsatzerlöse [in M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1.071,5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1.111,7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-3,6 %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3.309,0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3.376,2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-2,0 %</w:t>
            </w:r>
          </w:p>
        </w:tc>
      </w:tr>
      <w:tr w:rsidR="005A7337" w:rsidTr="00E806C4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Ergebnis vor Zinsen, Steuern und Abschreibungen (EBITDA) [in 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67,1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Pr="0068052B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-64,8 %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159,1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220,5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-27,8 %</w:t>
            </w:r>
          </w:p>
        </w:tc>
      </w:tr>
      <w:tr w:rsidR="005A7337" w:rsidTr="00E806C4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Ergebnis vor Zinsen und Steuern (EBIT) [in 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-12,7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29,8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Pr="0068052B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-&gt;100 %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49,2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115,3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-57,3 %</w:t>
            </w:r>
          </w:p>
        </w:tc>
      </w:tr>
      <w:tr w:rsidR="005A7337" w:rsidTr="00E806C4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37" w:rsidRPr="00E125A9" w:rsidRDefault="005A7337" w:rsidP="00E806C4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125A9">
              <w:rPr>
                <w:rFonts w:ascii="Arial" w:hAnsi="Arial" w:cs="Arial"/>
                <w:sz w:val="18"/>
                <w:szCs w:val="18"/>
              </w:rPr>
              <w:t xml:space="preserve">Bereinigtes EBIT </w:t>
            </w:r>
            <w:r w:rsidRPr="00E125A9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 w:rsidRPr="00E125A9">
              <w:rPr>
                <w:rFonts w:ascii="Arial" w:hAnsi="Arial" w:cs="Arial"/>
                <w:sz w:val="18"/>
                <w:szCs w:val="18"/>
              </w:rPr>
              <w:t xml:space="preserve"> [in Mio. </w:t>
            </w:r>
            <w:r w:rsidRPr="00E125A9"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337" w:rsidRPr="00E125A9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5A9">
              <w:rPr>
                <w:rFonts w:ascii="Arial" w:hAnsi="Arial" w:cs="Arial"/>
                <w:sz w:val="18"/>
                <w:szCs w:val="18"/>
              </w:rPr>
              <w:t>34,8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Pr="00E125A9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5A9"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Pr="00E125A9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5A9">
              <w:rPr>
                <w:rFonts w:ascii="Arial" w:hAnsi="Arial" w:cs="Arial"/>
                <w:sz w:val="18"/>
                <w:szCs w:val="18"/>
              </w:rPr>
              <w:t>8,1 %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Pr="00E125A9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5A9">
              <w:rPr>
                <w:rFonts w:ascii="Arial" w:hAnsi="Arial" w:cs="Arial"/>
                <w:sz w:val="18"/>
                <w:szCs w:val="18"/>
              </w:rPr>
              <w:t>125,6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Pr="00E125A9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5A9">
              <w:rPr>
                <w:rFonts w:ascii="Arial" w:hAnsi="Arial" w:cs="Arial"/>
                <w:sz w:val="18"/>
                <w:szCs w:val="18"/>
              </w:rPr>
              <w:t>124,7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Pr="00E125A9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125A9">
              <w:rPr>
                <w:rFonts w:ascii="Arial" w:hAnsi="Arial" w:cs="Arial"/>
                <w:sz w:val="18"/>
                <w:szCs w:val="18"/>
                <w:lang w:val="it-IT"/>
              </w:rPr>
              <w:t>0,7 %</w:t>
            </w:r>
          </w:p>
        </w:tc>
      </w:tr>
      <w:tr w:rsidR="005A7337" w:rsidTr="00E806C4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Ergebnis vor Steuern (EBT) [in Mio.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-18,6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Pr="0068052B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-&gt;100 %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-66,2 %</w:t>
            </w:r>
          </w:p>
        </w:tc>
      </w:tr>
      <w:tr w:rsidR="005A7337" w:rsidTr="00E806C4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Konzernüberschuss [M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-24,4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-&gt;100 %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-82,9 %</w:t>
            </w:r>
          </w:p>
        </w:tc>
      </w:tr>
      <w:tr w:rsidR="005A7337" w:rsidTr="00E806C4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Investitionen [in M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io.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-24,7 %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-14,4 %</w:t>
            </w:r>
          </w:p>
        </w:tc>
      </w:tr>
      <w:tr w:rsidR="005A7337" w:rsidTr="00E806C4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Eigenkapitalquote [in %]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--</w:t>
            </w:r>
          </w:p>
        </w:tc>
      </w:tr>
      <w:tr w:rsidR="005A7337" w:rsidTr="00E806C4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Ergebnis je Aktie [in €]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-&gt;100 %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-83,0 %</w:t>
            </w:r>
          </w:p>
        </w:tc>
      </w:tr>
      <w:tr w:rsidR="005A7337" w:rsidTr="00E806C4">
        <w:trPr>
          <w:trHeight w:val="28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Mitarbeiter per 30.9. [Anzahl]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2,7 %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77.013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37" w:rsidRDefault="005A7337" w:rsidP="00E806C4">
            <w:pPr>
              <w:tabs>
                <w:tab w:val="left" w:pos="8505"/>
              </w:tabs>
              <w:spacing w:line="276" w:lineRule="auto"/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2,7 %</w:t>
            </w:r>
          </w:p>
        </w:tc>
      </w:tr>
    </w:tbl>
    <w:p w:rsidR="005A7337" w:rsidRDefault="005A7337" w:rsidP="005A7337">
      <w:pPr>
        <w:autoSpaceDE w:val="0"/>
        <w:autoSpaceDN w:val="0"/>
        <w:adjustRightInd w:val="0"/>
        <w:ind w:right="1711"/>
        <w:rPr>
          <w:rFonts w:ascii="Arial" w:hAnsi="Arial" w:cs="Arial"/>
          <w:i/>
          <w:sz w:val="16"/>
          <w:szCs w:val="16"/>
        </w:rPr>
      </w:pPr>
    </w:p>
    <w:p w:rsidR="005A7337" w:rsidRPr="001877AF" w:rsidRDefault="005A7337" w:rsidP="005A7337">
      <w:pPr>
        <w:autoSpaceDE w:val="0"/>
        <w:autoSpaceDN w:val="0"/>
        <w:adjustRightInd w:val="0"/>
        <w:ind w:left="196" w:right="1711" w:hanging="196"/>
        <w:rPr>
          <w:rFonts w:ascii="Arial" w:hAnsi="Arial" w:cs="Arial"/>
          <w:i/>
          <w:sz w:val="16"/>
          <w:szCs w:val="16"/>
        </w:rPr>
      </w:pPr>
      <w:r w:rsidRPr="0089546A">
        <w:rPr>
          <w:rFonts w:ascii="Arial" w:hAnsi="Arial" w:cs="Arial"/>
          <w:sz w:val="18"/>
          <w:szCs w:val="18"/>
          <w:vertAlign w:val="superscript"/>
        </w:rPr>
        <w:t>(1)</w:t>
      </w:r>
      <w:r w:rsidRPr="00DF6351">
        <w:rPr>
          <w:rFonts w:ascii="Arial" w:hAnsi="Arial" w:cs="Arial"/>
          <w:sz w:val="18"/>
          <w:szCs w:val="18"/>
        </w:rPr>
        <w:t xml:space="preserve"> </w:t>
      </w:r>
      <w:r w:rsidRPr="001877AF">
        <w:rPr>
          <w:rFonts w:ascii="Arial" w:hAnsi="Arial" w:cs="Arial"/>
          <w:i/>
          <w:sz w:val="16"/>
          <w:szCs w:val="16"/>
        </w:rPr>
        <w:t>Ergebnis bereinigt um die Effekte aus der Neubewertung im Rahmen der Kaufpreisverteilung wesentlicher Akquisitionen, Restrukturierungen, Wertminderungen langfristiger Vermögenswerte, Gewinne aus Unter-</w:t>
      </w:r>
      <w:proofErr w:type="spellStart"/>
      <w:r w:rsidRPr="001877AF">
        <w:rPr>
          <w:rFonts w:ascii="Arial" w:hAnsi="Arial" w:cs="Arial"/>
          <w:i/>
          <w:sz w:val="16"/>
          <w:szCs w:val="16"/>
        </w:rPr>
        <w:t>nehmensverkäufen</w:t>
      </w:r>
      <w:proofErr w:type="spellEnd"/>
      <w:r>
        <w:rPr>
          <w:rFonts w:ascii="Arial" w:hAnsi="Arial" w:cs="Arial"/>
          <w:i/>
          <w:sz w:val="16"/>
          <w:szCs w:val="16"/>
        </w:rPr>
        <w:t>,</w:t>
      </w:r>
      <w:r w:rsidRPr="001877AF">
        <w:rPr>
          <w:rFonts w:ascii="Arial" w:hAnsi="Arial" w:cs="Arial"/>
          <w:i/>
          <w:sz w:val="16"/>
          <w:szCs w:val="16"/>
        </w:rPr>
        <w:t xml:space="preserve"> Ergebnisse aus </w:t>
      </w:r>
      <w:r w:rsidRPr="002335A5">
        <w:rPr>
          <w:rFonts w:ascii="Arial" w:hAnsi="Arial" w:cs="Arial"/>
          <w:i/>
          <w:sz w:val="16"/>
          <w:szCs w:val="16"/>
        </w:rPr>
        <w:t>Unternehmenszusammenschlüssen inklusive zugehöriger Derivate und Belastung aus Betrugsfall.</w:t>
      </w:r>
      <w:r>
        <w:rPr>
          <w:rFonts w:ascii="Arial" w:hAnsi="Arial" w:cs="Arial"/>
          <w:i/>
          <w:sz w:val="16"/>
          <w:szCs w:val="16"/>
        </w:rPr>
        <w:br/>
      </w:r>
    </w:p>
    <w:p w:rsidR="005A7337" w:rsidRPr="00F9437E" w:rsidRDefault="005A7337" w:rsidP="005A7337">
      <w:pPr>
        <w:spacing w:before="120"/>
        <w:ind w:right="1711"/>
        <w:rPr>
          <w:rFonts w:ascii="Arial" w:hAnsi="Arial" w:cs="Arial"/>
          <w:i/>
          <w:sz w:val="21"/>
          <w:szCs w:val="21"/>
        </w:rPr>
      </w:pPr>
      <w:r w:rsidRPr="00B30C8C">
        <w:rPr>
          <w:rFonts w:ascii="Arial" w:hAnsi="Arial" w:cs="Arial"/>
          <w:sz w:val="36"/>
          <w:szCs w:val="36"/>
        </w:rPr>
        <w:sym w:font="Wingdings" w:char="F046"/>
      </w:r>
      <w:r w:rsidRPr="00B30C8C">
        <w:rPr>
          <w:rFonts w:ascii="Arial" w:hAnsi="Arial" w:cs="Arial"/>
          <w:i/>
          <w:sz w:val="20"/>
          <w:szCs w:val="20"/>
        </w:rPr>
        <w:t xml:space="preserve"> </w:t>
      </w:r>
      <w:r w:rsidRPr="00B30C8C">
        <w:rPr>
          <w:rFonts w:ascii="Arial" w:hAnsi="Arial" w:cs="Arial"/>
          <w:i/>
          <w:sz w:val="22"/>
          <w:szCs w:val="22"/>
        </w:rPr>
        <w:t xml:space="preserve">Den vollständigen </w:t>
      </w:r>
      <w:r>
        <w:rPr>
          <w:rFonts w:ascii="Arial" w:hAnsi="Arial" w:cs="Arial"/>
          <w:i/>
          <w:sz w:val="22"/>
          <w:szCs w:val="22"/>
        </w:rPr>
        <w:t>Quartalsbericht</w:t>
      </w:r>
      <w:r w:rsidRPr="00B30C8C">
        <w:rPr>
          <w:rFonts w:ascii="Arial" w:hAnsi="Arial" w:cs="Arial"/>
          <w:i/>
          <w:sz w:val="22"/>
          <w:szCs w:val="22"/>
        </w:rPr>
        <w:t xml:space="preserve"> </w:t>
      </w:r>
      <w:r w:rsidRPr="00410029">
        <w:rPr>
          <w:rFonts w:ascii="Arial" w:hAnsi="Arial" w:cs="Arial"/>
          <w:i/>
          <w:sz w:val="22"/>
          <w:szCs w:val="22"/>
        </w:rPr>
        <w:t xml:space="preserve">können Sie herunterladen unter </w:t>
      </w:r>
      <w:hyperlink r:id="rId9" w:history="1">
        <w:r w:rsidRPr="00410029">
          <w:rPr>
            <w:rStyle w:val="Hyperlink"/>
            <w:rFonts w:ascii="Arial" w:hAnsi="Arial" w:cs="Arial"/>
            <w:i/>
            <w:sz w:val="22"/>
            <w:szCs w:val="22"/>
          </w:rPr>
          <w:t>www.leoni.com/de/finanzpublikationen</w:t>
        </w:r>
      </w:hyperlink>
      <w:r w:rsidRPr="00DF6351">
        <w:rPr>
          <w:rFonts w:ascii="Arial" w:hAnsi="Arial" w:cs="Arial"/>
          <w:i/>
          <w:sz w:val="21"/>
          <w:szCs w:val="21"/>
        </w:rPr>
        <w:t xml:space="preserve"> </w:t>
      </w:r>
    </w:p>
    <w:p w:rsidR="001B621B" w:rsidRPr="006D36F9" w:rsidRDefault="005A7337" w:rsidP="005A7337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</w:t>
      </w:r>
      <w:r w:rsidR="004B78AC" w:rsidRPr="006D36F9">
        <w:t xml:space="preserve">beschäftigt </w:t>
      </w:r>
      <w:r w:rsidR="002B5B50">
        <w:t xml:space="preserve">mehr als 77.000 </w:t>
      </w:r>
      <w:r w:rsidR="004B78AC">
        <w:t>Mitarbeiter in 32 Ländern und erzielte 2015 einen Konzernumsatz von 4,5 Mrd. Euro</w:t>
      </w:r>
      <w:r w:rsidR="00466073" w:rsidRPr="00B56D05">
        <w:t>.</w:t>
      </w:r>
    </w:p>
    <w:p w:rsidR="00E569A0" w:rsidRPr="00877C02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EF591E" w:rsidP="005E0BBB">
      <w:pPr>
        <w:pStyle w:val="MMKurzprofil"/>
      </w:pP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37" w:rsidRDefault="005A7337">
      <w:pPr>
        <w:rPr>
          <w:rFonts w:ascii="Arial" w:hAnsi="Arial" w:cs="Arial"/>
          <w:b/>
          <w:color w:val="112E6B"/>
          <w:sz w:val="20"/>
          <w:szCs w:val="20"/>
        </w:rPr>
      </w:pPr>
      <w:r>
        <w:br w:type="page"/>
      </w:r>
    </w:p>
    <w:p w:rsidR="008F5F48" w:rsidRPr="006D36F9" w:rsidRDefault="00441963" w:rsidP="006D36F9">
      <w:pPr>
        <w:pStyle w:val="MMKurzprofilberschrift"/>
      </w:pPr>
      <w:bookmarkStart w:id="0" w:name="_GoBack"/>
      <w:bookmarkEnd w:id="0"/>
      <w:r w:rsidRPr="006D36F9">
        <w:lastRenderedPageBreak/>
        <w:t xml:space="preserve">Ansprechpartner für </w:t>
      </w:r>
      <w:r w:rsidR="0061798D" w:rsidRPr="006D36F9">
        <w:t>Journalisten</w:t>
      </w:r>
    </w:p>
    <w:p w:rsidR="008F5F48" w:rsidRPr="006D36F9" w:rsidRDefault="008F5F48" w:rsidP="006D36F9">
      <w:pPr>
        <w:pStyle w:val="MMKurzprofil"/>
      </w:pPr>
      <w:r w:rsidRPr="006D36F9">
        <w:t>Sven Schmidt</w:t>
      </w:r>
    </w:p>
    <w:p w:rsidR="008F5F48" w:rsidRDefault="000A7B89" w:rsidP="006D36F9">
      <w:pPr>
        <w:pStyle w:val="MMKurzprofil"/>
      </w:pPr>
      <w:r w:rsidRPr="006D36F9">
        <w:t xml:space="preserve">Corporate </w:t>
      </w:r>
      <w:r w:rsidR="008F5F48" w:rsidRPr="006D36F9">
        <w:t>Public &amp; Media Relations</w:t>
      </w:r>
    </w:p>
    <w:p w:rsidR="009613DC" w:rsidRPr="006D36F9" w:rsidRDefault="009613DC" w:rsidP="006D36F9">
      <w:pPr>
        <w:pStyle w:val="MMKurzprofil"/>
      </w:pPr>
      <w:r>
        <w:t>LEONI AG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Telefon</w:t>
      </w:r>
      <w:r w:rsidR="006D36F9">
        <w:tab/>
      </w:r>
      <w:r w:rsidRPr="006D36F9">
        <w:t>+49 911</w:t>
      </w:r>
      <w:r w:rsidR="0024234A">
        <w:t xml:space="preserve"> </w:t>
      </w:r>
      <w:r w:rsidRPr="006D36F9">
        <w:t>2023-467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+49 911</w:t>
      </w:r>
      <w:r w:rsidR="0024234A">
        <w:t xml:space="preserve"> </w:t>
      </w:r>
      <w:r w:rsidRPr="006D36F9">
        <w:t>2023-231</w:t>
      </w:r>
    </w:p>
    <w:p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4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E491E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3C" w:rsidRPr="00A44C71" w:rsidRDefault="00FF303C">
      <w:pPr>
        <w:rPr>
          <w:sz w:val="16"/>
        </w:rPr>
      </w:pPr>
      <w:r>
        <w:separator/>
      </w:r>
    </w:p>
  </w:endnote>
  <w:endnote w:type="continuationSeparator" w:id="0">
    <w:p w:rsidR="00FF303C" w:rsidRPr="00A44C71" w:rsidRDefault="00FF303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5A7337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5A7337">
      <w:rPr>
        <w:rStyle w:val="Seitenzahl"/>
        <w:rFonts w:ascii="Arial" w:hAnsi="Arial" w:cs="Arial"/>
        <w:i/>
        <w:noProof/>
        <w:sz w:val="16"/>
        <w:szCs w:val="16"/>
      </w:rPr>
      <w:t>4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1E" w:rsidRPr="00190924" w:rsidRDefault="007E491E" w:rsidP="007E491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  <w:p w:rsidR="00441012" w:rsidRPr="00190924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3C" w:rsidRPr="00A44C71" w:rsidRDefault="00FF303C">
      <w:pPr>
        <w:rPr>
          <w:sz w:val="16"/>
        </w:rPr>
      </w:pPr>
      <w:r>
        <w:separator/>
      </w:r>
    </w:p>
  </w:footnote>
  <w:footnote w:type="continuationSeparator" w:id="0">
    <w:p w:rsidR="00FF303C" w:rsidRPr="00A44C71" w:rsidRDefault="00FF303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EF591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525CF0D4" wp14:editId="528FCFFA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EF591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722A974A" wp14:editId="66FADA2E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453F9"/>
    <w:rsid w:val="000A0822"/>
    <w:rsid w:val="000A32BC"/>
    <w:rsid w:val="000A7B89"/>
    <w:rsid w:val="000B3BF8"/>
    <w:rsid w:val="000B5865"/>
    <w:rsid w:val="000C02B1"/>
    <w:rsid w:val="000E0BCB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90924"/>
    <w:rsid w:val="00195338"/>
    <w:rsid w:val="001A26F1"/>
    <w:rsid w:val="001B621B"/>
    <w:rsid w:val="001C0CC3"/>
    <w:rsid w:val="001C7543"/>
    <w:rsid w:val="001D1868"/>
    <w:rsid w:val="001D2CDB"/>
    <w:rsid w:val="00207FC6"/>
    <w:rsid w:val="00211D05"/>
    <w:rsid w:val="00240866"/>
    <w:rsid w:val="0024234A"/>
    <w:rsid w:val="00245C9E"/>
    <w:rsid w:val="00260A78"/>
    <w:rsid w:val="002630D8"/>
    <w:rsid w:val="00264325"/>
    <w:rsid w:val="002929B6"/>
    <w:rsid w:val="002956A9"/>
    <w:rsid w:val="0029603C"/>
    <w:rsid w:val="002B325C"/>
    <w:rsid w:val="002B59D6"/>
    <w:rsid w:val="002B5B50"/>
    <w:rsid w:val="002B7AC7"/>
    <w:rsid w:val="002B7BFA"/>
    <w:rsid w:val="002C118D"/>
    <w:rsid w:val="003118F1"/>
    <w:rsid w:val="00320044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4468"/>
    <w:rsid w:val="00432245"/>
    <w:rsid w:val="00441012"/>
    <w:rsid w:val="00441963"/>
    <w:rsid w:val="0045071B"/>
    <w:rsid w:val="004547BF"/>
    <w:rsid w:val="00466073"/>
    <w:rsid w:val="00473340"/>
    <w:rsid w:val="00473E7D"/>
    <w:rsid w:val="004826F0"/>
    <w:rsid w:val="004A1653"/>
    <w:rsid w:val="004A457B"/>
    <w:rsid w:val="004B0623"/>
    <w:rsid w:val="004B3DB8"/>
    <w:rsid w:val="004B4CC2"/>
    <w:rsid w:val="004B78AC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A7337"/>
    <w:rsid w:val="005B4DC3"/>
    <w:rsid w:val="005C5351"/>
    <w:rsid w:val="005D4C87"/>
    <w:rsid w:val="005D550E"/>
    <w:rsid w:val="005E0BBB"/>
    <w:rsid w:val="00600E53"/>
    <w:rsid w:val="00614A49"/>
    <w:rsid w:val="0061798D"/>
    <w:rsid w:val="0062285E"/>
    <w:rsid w:val="00631FB1"/>
    <w:rsid w:val="00633487"/>
    <w:rsid w:val="006457CF"/>
    <w:rsid w:val="00654989"/>
    <w:rsid w:val="006611CF"/>
    <w:rsid w:val="00683EF3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95463"/>
    <w:rsid w:val="007C3759"/>
    <w:rsid w:val="007D7D60"/>
    <w:rsid w:val="007E491E"/>
    <w:rsid w:val="007F3212"/>
    <w:rsid w:val="008045E1"/>
    <w:rsid w:val="00821BA4"/>
    <w:rsid w:val="0083522C"/>
    <w:rsid w:val="008446CD"/>
    <w:rsid w:val="00877C02"/>
    <w:rsid w:val="00883645"/>
    <w:rsid w:val="008920B0"/>
    <w:rsid w:val="008B1883"/>
    <w:rsid w:val="008D26BA"/>
    <w:rsid w:val="008D6717"/>
    <w:rsid w:val="008E7760"/>
    <w:rsid w:val="008F5F48"/>
    <w:rsid w:val="00906898"/>
    <w:rsid w:val="00936962"/>
    <w:rsid w:val="009613DC"/>
    <w:rsid w:val="00961415"/>
    <w:rsid w:val="00967E91"/>
    <w:rsid w:val="009714B0"/>
    <w:rsid w:val="00977A5F"/>
    <w:rsid w:val="00977A87"/>
    <w:rsid w:val="009A05EE"/>
    <w:rsid w:val="009A1070"/>
    <w:rsid w:val="009B48FF"/>
    <w:rsid w:val="009B564D"/>
    <w:rsid w:val="009C6B13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AF3E2D"/>
    <w:rsid w:val="00B1340F"/>
    <w:rsid w:val="00B139E4"/>
    <w:rsid w:val="00B3540F"/>
    <w:rsid w:val="00B45E40"/>
    <w:rsid w:val="00B466F2"/>
    <w:rsid w:val="00B67561"/>
    <w:rsid w:val="00B70B1A"/>
    <w:rsid w:val="00B71C6F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83F49"/>
    <w:rsid w:val="00C900A9"/>
    <w:rsid w:val="00C96EBA"/>
    <w:rsid w:val="00CA481B"/>
    <w:rsid w:val="00CA4B57"/>
    <w:rsid w:val="00CB644E"/>
    <w:rsid w:val="00D04407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460C8"/>
    <w:rsid w:val="00E569A0"/>
    <w:rsid w:val="00E76BA0"/>
    <w:rsid w:val="00E93051"/>
    <w:rsid w:val="00E96673"/>
    <w:rsid w:val="00EC0A0C"/>
    <w:rsid w:val="00EC0E74"/>
    <w:rsid w:val="00EC6520"/>
    <w:rsid w:val="00ED1040"/>
    <w:rsid w:val="00ED47BD"/>
    <w:rsid w:val="00EE3329"/>
    <w:rsid w:val="00EF591E"/>
    <w:rsid w:val="00F21EA0"/>
    <w:rsid w:val="00F37865"/>
    <w:rsid w:val="00F53056"/>
    <w:rsid w:val="00F67138"/>
    <w:rsid w:val="00F737A1"/>
    <w:rsid w:val="00F73C92"/>
    <w:rsid w:val="00F77BB5"/>
    <w:rsid w:val="00F80249"/>
    <w:rsid w:val="00F90257"/>
    <w:rsid w:val="00F91FB0"/>
    <w:rsid w:val="00F92DC3"/>
    <w:rsid w:val="00F94F62"/>
    <w:rsid w:val="00F955C9"/>
    <w:rsid w:val="00FC2BA4"/>
    <w:rsid w:val="00FE0AC5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finanzpublikationen" TargetMode="External"/><Relationship Id="rId14" Type="http://schemas.openxmlformats.org/officeDocument/2006/relationships/hyperlink" Target="mailto:presse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474D-B464-4C06-B4FB-0D66A037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</vt:lpstr>
    </vt:vector>
  </TitlesOfParts>
  <Manager>Sven Schmidt</Manager>
  <Company>LEONI</Company>
  <LinksUpToDate>false</LinksUpToDate>
  <CharactersWithSpaces>6582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2</cp:revision>
  <cp:lastPrinted>2011-02-14T13:56:00Z</cp:lastPrinted>
  <dcterms:created xsi:type="dcterms:W3CDTF">2016-11-17T12:44:00Z</dcterms:created>
  <dcterms:modified xsi:type="dcterms:W3CDTF">2016-11-17T12:44:00Z</dcterms:modified>
</cp:coreProperties>
</file>