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C1DB3F" w14:textId="77777777" w:rsidR="00D407C8" w:rsidRPr="00D61CCE" w:rsidRDefault="00D407C8" w:rsidP="00D407C8">
      <w:pPr>
        <w:pStyle w:val="MMU1"/>
        <w:rPr>
          <w:lang w:val="en-GB"/>
        </w:rPr>
      </w:pPr>
      <w:r w:rsidRPr="00D61CCE">
        <w:rPr>
          <w:lang w:val="en-GB"/>
        </w:rPr>
        <w:t xml:space="preserve">Leoni sees favourable trend for future business performance   </w:t>
      </w:r>
    </w:p>
    <w:p w14:paraId="0204D156" w14:textId="77777777" w:rsidR="00D407C8" w:rsidRPr="00D61CCE" w:rsidRDefault="00D407C8" w:rsidP="00D407C8">
      <w:pPr>
        <w:pStyle w:val="MMU2"/>
        <w:rPr>
          <w:lang w:val="en-GB"/>
        </w:rPr>
      </w:pPr>
      <w:r w:rsidRPr="00D61CCE">
        <w:rPr>
          <w:lang w:val="en-GB"/>
        </w:rPr>
        <w:t>2017 forecast with significant sales and earnings growth – operating targets met in 2016</w:t>
      </w:r>
    </w:p>
    <w:p w14:paraId="0DDF94BB" w14:textId="154D1548" w:rsidR="00D407C8" w:rsidRPr="00D61CCE" w:rsidRDefault="00D407C8" w:rsidP="00D407C8">
      <w:pPr>
        <w:pStyle w:val="MMVorspann"/>
        <w:rPr>
          <w:lang w:val="en-GB"/>
        </w:rPr>
      </w:pPr>
      <w:r w:rsidRPr="00D61CCE">
        <w:rPr>
          <w:lang w:val="en-GB"/>
        </w:rPr>
        <w:t xml:space="preserve">Nuremberg, 23 March 2017 – Leoni, the leading European provider of cables and cable systems to the automotive sector and other industries, fulfilled its operating targets for 2016 and takes an upbeat view of the medium-term trend for its own business activities. The sales of EUR 4.43 billion for the year under report (2015: EUR 4.5 billion) exceed the projected level of EUR 4.4 billion slightly. Both divisions generated more than 3 percent organic growth. However, the adverse effects of changes in the copper price and exchange rates ultimately led to a marginal sales decrease. In terms of earnings before interest and taxes (EBIT), Leoni beat its forecast of EUR 65 million with a figure of EUR 78.1 million (2015: EUR 151.3 million). Exceptional factors, particularly restructuring expenses of EUR 31.4 million as well as the losses due to the fraud case of approx. EUR 40 million, had a starkly defining effect on the achieved result. On an adjusted basis, EBIT improved by about 12 percent to EUR 160.2 million (2015: EUR 143.6 million). The bottom line was a figure of EUR 10.5 million, down from EUR 77.3 million in 2015. The Company intends to deviate from its </w:t>
      </w:r>
      <w:proofErr w:type="spellStart"/>
      <w:r w:rsidRPr="00D61CCE">
        <w:rPr>
          <w:lang w:val="en-GB"/>
        </w:rPr>
        <w:t>payout</w:t>
      </w:r>
      <w:proofErr w:type="spellEnd"/>
      <w:r w:rsidRPr="00D61CCE">
        <w:rPr>
          <w:lang w:val="en-GB"/>
        </w:rPr>
        <w:t xml:space="preserve"> policy by proposing to pay a dividend of EUR 0.50 per share, thereby expressing its confidence that the Group will perform successfully in the next few years.</w:t>
      </w:r>
    </w:p>
    <w:p w14:paraId="6549CC86" w14:textId="54A20B6D" w:rsidR="00D407C8" w:rsidRPr="00D61CCE" w:rsidRDefault="00D407C8" w:rsidP="00D61CCE">
      <w:pPr>
        <w:pStyle w:val="MMFlietext"/>
        <w:rPr>
          <w:lang w:val="en-GB"/>
        </w:rPr>
      </w:pPr>
      <w:r w:rsidRPr="00D61CCE">
        <w:rPr>
          <w:lang w:val="en-GB"/>
        </w:rPr>
        <w:t>“The year 2016 presented Leoni with all sorts of challenges, which incurred exceptional charges. However, we are satisfied with our operating performance and are also confident that we will be back on track to success in 2017,” said Dieter Bellé, President and CEO of Leoni AG, during the compan</w:t>
      </w:r>
      <w:r w:rsidR="00D61CCE">
        <w:rPr>
          <w:lang w:val="en-GB"/>
        </w:rPr>
        <w:t>y’</w:t>
      </w:r>
      <w:r w:rsidRPr="00D61CCE">
        <w:rPr>
          <w:lang w:val="en-GB"/>
        </w:rPr>
        <w:t xml:space="preserve">s </w:t>
      </w:r>
      <w:r w:rsidR="00D61CCE">
        <w:rPr>
          <w:lang w:val="en-GB"/>
        </w:rPr>
        <w:t>balance sheet press conference.</w:t>
      </w:r>
    </w:p>
    <w:p w14:paraId="5B382484" w14:textId="77777777" w:rsidR="00D407C8" w:rsidRPr="00D61CCE" w:rsidRDefault="00D407C8" w:rsidP="00D407C8">
      <w:pPr>
        <w:pStyle w:val="MMZwischenberschrift"/>
        <w:rPr>
          <w:lang w:val="en-GB"/>
        </w:rPr>
      </w:pPr>
      <w:r w:rsidRPr="00D61CCE">
        <w:rPr>
          <w:lang w:val="en-GB"/>
        </w:rPr>
        <w:t>WSD: Reorganisation implemented</w:t>
      </w:r>
    </w:p>
    <w:p w14:paraId="13DDD51D" w14:textId="77777777" w:rsidR="00D407C8" w:rsidRPr="00D61CCE" w:rsidRDefault="00D407C8" w:rsidP="00D407C8">
      <w:pPr>
        <w:pStyle w:val="MMFlietext"/>
        <w:rPr>
          <w:rFonts w:cs="Times New Roman"/>
          <w:szCs w:val="24"/>
          <w:lang w:val="en-GB"/>
        </w:rPr>
      </w:pPr>
      <w:r w:rsidRPr="00D61CCE">
        <w:rPr>
          <w:lang w:val="en-GB"/>
        </w:rPr>
        <w:t xml:space="preserve">The sales of the Wiring Systems Division (WSD) rose slightly to EUR 2.69 million in the year under report (2015: EUR 2.67 billion). The trend in demand </w:t>
      </w:r>
      <w:r w:rsidRPr="00D61CCE">
        <w:rPr>
          <w:lang w:val="en-GB"/>
        </w:rPr>
        <w:lastRenderedPageBreak/>
        <w:t xml:space="preserve">for wiring systems for premium cars was especially favourable. Business with the international supply industry was also encouraging. The </w:t>
      </w:r>
      <w:proofErr w:type="spellStart"/>
      <w:r w:rsidRPr="00D61CCE">
        <w:rPr>
          <w:lang w:val="en-GB"/>
        </w:rPr>
        <w:t>Electromobility</w:t>
      </w:r>
      <w:proofErr w:type="spellEnd"/>
      <w:r w:rsidRPr="00D61CCE">
        <w:rPr>
          <w:lang w:val="en-GB"/>
        </w:rPr>
        <w:t xml:space="preserve"> unit generated the largest increase in percentage terms, while also booking orders worth approx. EUR 400 million. The acquisition of a 51 percent stake in the Chinese wiring systems manufacturer Wuhan </w:t>
      </w:r>
      <w:proofErr w:type="spellStart"/>
      <w:r w:rsidRPr="00D61CCE">
        <w:rPr>
          <w:lang w:val="en-GB"/>
        </w:rPr>
        <w:t>Hengtong</w:t>
      </w:r>
      <w:proofErr w:type="spellEnd"/>
      <w:r w:rsidRPr="00D61CCE">
        <w:rPr>
          <w:lang w:val="en-GB"/>
        </w:rPr>
        <w:t xml:space="preserve"> Automotive to supply its customer </w:t>
      </w:r>
      <w:proofErr w:type="spellStart"/>
      <w:r w:rsidRPr="00D61CCE">
        <w:rPr>
          <w:lang w:val="en-GB"/>
        </w:rPr>
        <w:t>Dongfeng</w:t>
      </w:r>
      <w:proofErr w:type="spellEnd"/>
      <w:r w:rsidRPr="00D61CCE">
        <w:rPr>
          <w:lang w:val="en-GB"/>
        </w:rPr>
        <w:t xml:space="preserve"> Peugeot Citroën Automobile constitutes a strategic success that will strengthen Leoni's position on the Asian market. </w:t>
      </w:r>
    </w:p>
    <w:p w14:paraId="4045885C" w14:textId="3F370808" w:rsidR="00D407C8" w:rsidRPr="00D61CCE" w:rsidRDefault="00D407C8" w:rsidP="00D407C8">
      <w:pPr>
        <w:pStyle w:val="MMFlietext"/>
        <w:rPr>
          <w:lang w:val="en-GB"/>
        </w:rPr>
      </w:pPr>
      <w:r w:rsidRPr="00D61CCE">
        <w:rPr>
          <w:lang w:val="en-GB"/>
        </w:rPr>
        <w:t xml:space="preserve">The reorganisation launched in 2016 was implemented. The division’s structures are now leaner, having thereby shortened decision-making channels and redefined responsibilities. The Wiring Systems Division furthermore succeeded in raising the performance of its critical projects and easing the pressure on its facility in Romania. The planned number of about 1,100 non-production redundancies worldwide incurred substantial restructuring expenses of EUR 27.8 million during the year under report. This can be expected to exert a sustained, positive effect on earnings, which will amount to approx. EUR 15 million in the current year. The segment's EBIT including the charges stemming from the restructuring programme dropped to EUR 34.7 million during the year under report (2015: EUR 87.4 million). The previous year’s figure included a beneficial item of EUR 19.6 million from the partial disposal of a subsidiary in China. Adjusted for non-operating factors, fiscal 2016 EBIT almost matched the 2015 level. </w:t>
      </w:r>
    </w:p>
    <w:p w14:paraId="468D0E8F" w14:textId="77777777" w:rsidR="00D407C8" w:rsidRPr="00D61CCE" w:rsidRDefault="00D407C8" w:rsidP="00D407C8">
      <w:pPr>
        <w:pStyle w:val="MMZwischenberschrift"/>
        <w:rPr>
          <w:lang w:val="en-GB"/>
        </w:rPr>
      </w:pPr>
      <w:r w:rsidRPr="00D61CCE">
        <w:rPr>
          <w:lang w:val="en-GB"/>
        </w:rPr>
        <w:t xml:space="preserve">WCS: Significant margin improvement  </w:t>
      </w:r>
    </w:p>
    <w:p w14:paraId="2C745553" w14:textId="4B64DA81" w:rsidR="00D407C8" w:rsidRPr="00D61CCE" w:rsidRDefault="00D407C8" w:rsidP="00D407C8">
      <w:pPr>
        <w:pStyle w:val="MMFlietext"/>
        <w:rPr>
          <w:lang w:val="en-GB"/>
        </w:rPr>
      </w:pPr>
      <w:r w:rsidRPr="00D61CCE">
        <w:rPr>
          <w:lang w:val="en-GB"/>
        </w:rPr>
        <w:t xml:space="preserve">The growth that the Wire &amp; Cable Solutions (WCS) Division generated from its own resources in 2016 was more than cancelled out by the major, adverse effects of the lower copper price and the changes in exchange rates, because of which the division’s sales decreased to EUR 1.74 billion (2015: EUR 1.83 billion). Alongside the consistently good automotive cables business in Europe and the Americas, there was increased demand especially from the robotics, medical technology as well as automation and drive technology sectors. The division streamlined its portfolio in 2016 as part of its strategic realignment towards becoming a </w:t>
      </w:r>
      <w:r w:rsidR="00DD7C9C">
        <w:rPr>
          <w:lang w:val="en-GB"/>
        </w:rPr>
        <w:t xml:space="preserve">solution provider as well as a </w:t>
      </w:r>
      <w:r w:rsidRPr="00D61CCE">
        <w:rPr>
          <w:lang w:val="en-GB"/>
        </w:rPr>
        <w:t xml:space="preserve">systems and development </w:t>
      </w:r>
      <w:r w:rsidRPr="00D61CCE">
        <w:rPr>
          <w:lang w:val="en-GB"/>
        </w:rPr>
        <w:lastRenderedPageBreak/>
        <w:t xml:space="preserve">partner. To that end, it sold its Leoni </w:t>
      </w:r>
      <w:proofErr w:type="spellStart"/>
      <w:r w:rsidRPr="00D61CCE">
        <w:rPr>
          <w:lang w:val="en-GB"/>
        </w:rPr>
        <w:t>Studer</w:t>
      </w:r>
      <w:proofErr w:type="spellEnd"/>
      <w:r w:rsidRPr="00D61CCE">
        <w:rPr>
          <w:lang w:val="en-GB"/>
        </w:rPr>
        <w:t xml:space="preserve"> Hard GmbH subsidiary and initiated the disposal of its electrical appliance cables business, which is to be completed in the first half of 2017. Work began, furthermore, on developing intelligent cables – with the aim of being part of shaping industrial digiti</w:t>
      </w:r>
      <w:r w:rsidR="00DD7C9C">
        <w:rPr>
          <w:lang w:val="en-GB"/>
        </w:rPr>
        <w:t>s</w:t>
      </w:r>
      <w:r w:rsidRPr="00D61CCE">
        <w:rPr>
          <w:lang w:val="en-GB"/>
        </w:rPr>
        <w:t>ation and enhancing customers’ competitiveness with corresponding solutions.</w:t>
      </w:r>
    </w:p>
    <w:p w14:paraId="05FA0EAC" w14:textId="77777777" w:rsidR="00D407C8" w:rsidRPr="00D61CCE" w:rsidRDefault="00D407C8" w:rsidP="00D407C8">
      <w:pPr>
        <w:pStyle w:val="MMFlietext"/>
        <w:rPr>
          <w:lang w:val="en-GB"/>
        </w:rPr>
      </w:pPr>
      <w:r w:rsidRPr="00D61CCE">
        <w:rPr>
          <w:lang w:val="en-GB"/>
        </w:rPr>
        <w:t xml:space="preserve">With the benefit of its positive operating performance as well as higher-margin products and solutions accounting for a larger proportion of its business, the division’s EBIT was up significantly, i.e. by about 31 percent, to EUR 83.7 million in the period under report (2015: EUR 63.9 million). This figure includes a book profit of EUR 3.3 million from the sale of the subsidiary as well as the opposing effect of restructuring expenses amounting to EUR 3.6 million. </w:t>
      </w:r>
    </w:p>
    <w:p w14:paraId="651194D4" w14:textId="77777777" w:rsidR="00D407C8" w:rsidRPr="00D61CCE" w:rsidRDefault="00D407C8" w:rsidP="00D407C8">
      <w:pPr>
        <w:pStyle w:val="MMZwischenberschrift"/>
        <w:rPr>
          <w:lang w:val="en-GB"/>
        </w:rPr>
      </w:pPr>
      <w:r w:rsidRPr="00D61CCE">
        <w:rPr>
          <w:lang w:val="en-GB"/>
        </w:rPr>
        <w:t xml:space="preserve">Capital spending down from the previous year </w:t>
      </w:r>
    </w:p>
    <w:p w14:paraId="6E8779A1" w14:textId="77777777" w:rsidR="00D407C8" w:rsidRPr="00D61CCE" w:rsidRDefault="00D407C8" w:rsidP="00D407C8">
      <w:pPr>
        <w:pStyle w:val="MMFlietext"/>
        <w:rPr>
          <w:rFonts w:eastAsia="Calibri"/>
          <w:lang w:val="en-GB"/>
        </w:rPr>
      </w:pPr>
      <w:r w:rsidRPr="00D61CCE">
        <w:rPr>
          <w:lang w:val="en-GB"/>
        </w:rPr>
        <w:t xml:space="preserve">In the 2016 financial year, Leoni again invested a substantial EUR 211 million in property, plant and equipment as well as intangible assets, although this was down by about 15 percent compared with the previous year (EUR 248 million). This investment related mainly to the expansion of wiring systems production capacity in China, North Africa and Eastern Europe and rebuilding work at the plant in Kitzingen, Germany. Among other things, the WCS Division enlarged its capacity to produce standard automotive cables, commissioned a PVC processing line in China and began its installation of an irradiation crosslinking line in India. </w:t>
      </w:r>
    </w:p>
    <w:p w14:paraId="5E5215EA" w14:textId="32D8FE32" w:rsidR="00D407C8" w:rsidRPr="00D61CCE" w:rsidRDefault="00D407C8" w:rsidP="00D407C8">
      <w:pPr>
        <w:pStyle w:val="MMZwischenberschrift"/>
        <w:rPr>
          <w:highlight w:val="yellow"/>
          <w:lang w:val="en-GB"/>
        </w:rPr>
      </w:pPr>
      <w:r w:rsidRPr="00D61CCE">
        <w:rPr>
          <w:lang w:val="en-GB"/>
        </w:rPr>
        <w:t xml:space="preserve">Financial and asset situation: free cash flow affected by </w:t>
      </w:r>
      <w:r w:rsidR="00A24DAD">
        <w:rPr>
          <w:lang w:val="en-GB"/>
        </w:rPr>
        <w:t>one-offs</w:t>
      </w:r>
      <w:r w:rsidRPr="00D61CCE">
        <w:rPr>
          <w:lang w:val="en-GB"/>
        </w:rPr>
        <w:t xml:space="preserve"> </w:t>
      </w:r>
    </w:p>
    <w:p w14:paraId="0E1F9897" w14:textId="77777777" w:rsidR="00D407C8" w:rsidRPr="00D61CCE" w:rsidRDefault="00D407C8" w:rsidP="00D407C8">
      <w:pPr>
        <w:pStyle w:val="MMFlietext"/>
        <w:rPr>
          <w:lang w:val="en-GB"/>
        </w:rPr>
      </w:pPr>
      <w:r w:rsidRPr="00D61CCE">
        <w:rPr>
          <w:lang w:val="en-GB"/>
        </w:rPr>
        <w:t xml:space="preserve">The fraud case and the restructuring programme weighed heavily on operating cash flow during the period under report. Free cash flow was down from negative EUR 5.2 million in fiscal 2015 to negative EUR 40.3 million in 2016. Adjusted for the outflow due to the fraud case and restructuring, free cash flow was positive. Due primarily to the significantly lower profit and negative valuation factors involving pensions and foreign exchange, equity decreased by about 8 percent to EUR 916 million during the period under report (2015: EUR 996 million); the equity ratio stood at 31 percent on the reporting date, down from 35 percent in the year before. </w:t>
      </w:r>
    </w:p>
    <w:p w14:paraId="6D2D7F84" w14:textId="77777777" w:rsidR="00D407C8" w:rsidRPr="00D61CCE" w:rsidRDefault="00D407C8" w:rsidP="00D407C8">
      <w:pPr>
        <w:tabs>
          <w:tab w:val="left" w:pos="8505"/>
        </w:tabs>
        <w:spacing w:line="360" w:lineRule="auto"/>
        <w:ind w:right="1922"/>
        <w:rPr>
          <w:rFonts w:ascii="Arial" w:hAnsi="Arial" w:cs="Arial"/>
          <w:b/>
          <w:sz w:val="22"/>
          <w:szCs w:val="22"/>
          <w:lang w:val="en-GB"/>
        </w:rPr>
      </w:pPr>
      <w:r w:rsidRPr="00D61CCE">
        <w:rPr>
          <w:rFonts w:ascii="Arial" w:hAnsi="Arial"/>
          <w:b/>
          <w:sz w:val="22"/>
          <w:szCs w:val="22"/>
          <w:lang w:val="en-GB"/>
        </w:rPr>
        <w:lastRenderedPageBreak/>
        <w:t xml:space="preserve">Forecast: Short and medium-term increases in sales and EBIT </w:t>
      </w:r>
    </w:p>
    <w:p w14:paraId="0581E0AB" w14:textId="77777777" w:rsidR="00D407C8" w:rsidRPr="00D61CCE" w:rsidRDefault="00D407C8" w:rsidP="00D407C8">
      <w:pPr>
        <w:pStyle w:val="MMFlietext"/>
        <w:rPr>
          <w:lang w:val="en-GB"/>
        </w:rPr>
      </w:pPr>
      <w:r w:rsidRPr="00D61CCE">
        <w:rPr>
          <w:lang w:val="en-GB"/>
        </w:rPr>
        <w:t xml:space="preserve">For the current year, Leoni projects sales of about EUR 4.6 billion, equating to growth of approx. 5 percent, as well as significantly improved consolidated EBIT of between EUR 180 and 200 million. Alongside the additional profit contributions from increased sales, the absence of the fraud-case losses of about EUR 40 million as well as a return of restructuring expenses to a normal measure from last year’s EUR 31.4 million will exert a positive effect on income. Improvements in the Wiring Systems Division stemming from lower overheads as well as exceptional benefit from the sale of Business Group Electrical Appliance Assemblies and insurance compensation in connection with the fraud case with also contribute. The Company projects positive free cash flow despite higher capital expenditure of approximately EUR 250 million. </w:t>
      </w:r>
    </w:p>
    <w:p w14:paraId="51A5A2BB" w14:textId="16445461" w:rsidR="00E01A4E" w:rsidRPr="00D61CCE" w:rsidRDefault="00D407C8" w:rsidP="00D407C8">
      <w:pPr>
        <w:pStyle w:val="MMFlietext"/>
        <w:rPr>
          <w:lang w:val="en-GB"/>
        </w:rPr>
      </w:pPr>
      <w:r w:rsidRPr="00D61CCE">
        <w:rPr>
          <w:lang w:val="en-GB"/>
        </w:rPr>
        <w:t>During the current anniversary year, 100 years</w:t>
      </w:r>
      <w:r w:rsidR="00A24DAD">
        <w:rPr>
          <w:lang w:val="en-GB"/>
        </w:rPr>
        <w:t xml:space="preserve"> after its establishment, the Leoni</w:t>
      </w:r>
      <w:r w:rsidRPr="00D61CCE">
        <w:rPr>
          <w:lang w:val="en-GB"/>
        </w:rPr>
        <w:t xml:space="preserve"> Group will further develop its strategy and systematically align it with new trends in technology and society. The Company’s medium-term target is to generate organic sales growth of 4 to 5 percent per year. The Group’s EBIT margin is projected to be in mid-single-digit territory in 2019, together with positive free cash flow (after dividend </w:t>
      </w:r>
      <w:proofErr w:type="spellStart"/>
      <w:r w:rsidRPr="00D61CCE">
        <w:rPr>
          <w:lang w:val="en-GB"/>
        </w:rPr>
        <w:t>payout</w:t>
      </w:r>
      <w:proofErr w:type="spellEnd"/>
      <w:r w:rsidRPr="00D61CCE">
        <w:rPr>
          <w:lang w:val="en-GB"/>
        </w:rPr>
        <w:t>)</w:t>
      </w:r>
      <w:r w:rsidR="000C33D0" w:rsidRPr="00D61CCE">
        <w:rPr>
          <w:lang w:val="en-GB"/>
        </w:rPr>
        <w:t>.</w:t>
      </w:r>
      <w:r w:rsidR="00E01A4E" w:rsidRPr="00D61CCE">
        <w:rPr>
          <w:lang w:val="en-GB"/>
        </w:rPr>
        <w:t xml:space="preserve"> </w:t>
      </w:r>
    </w:p>
    <w:p w14:paraId="3EBB97C4" w14:textId="014396C6" w:rsidR="00314F40" w:rsidRPr="00D61CCE" w:rsidRDefault="00E01A4E" w:rsidP="006678E0">
      <w:pPr>
        <w:pStyle w:val="MMFlietext"/>
        <w:rPr>
          <w:i/>
          <w:lang w:val="en-GB"/>
        </w:rPr>
      </w:pPr>
      <w:r w:rsidRPr="00D61CCE">
        <w:rPr>
          <w:i/>
          <w:lang w:val="en-GB"/>
        </w:rPr>
        <w:t>(</w:t>
      </w:r>
      <w:r w:rsidR="00A24DAD">
        <w:rPr>
          <w:i/>
          <w:lang w:val="en-GB"/>
        </w:rPr>
        <w:t>7,849</w:t>
      </w:r>
      <w:r w:rsidRPr="00D61CCE">
        <w:rPr>
          <w:i/>
          <w:lang w:val="en-GB"/>
        </w:rPr>
        <w:t xml:space="preserve"> </w:t>
      </w:r>
      <w:r w:rsidR="00EE4972" w:rsidRPr="00D61CCE">
        <w:rPr>
          <w:i/>
          <w:lang w:val="en-GB"/>
        </w:rPr>
        <w:t>characters incl. blanks</w:t>
      </w:r>
      <w:r w:rsidRPr="00D61CCE">
        <w:rPr>
          <w:i/>
          <w:lang w:val="en-GB"/>
        </w:rPr>
        <w:t>)</w:t>
      </w:r>
    </w:p>
    <w:p w14:paraId="3DBA17CA" w14:textId="675B4F68" w:rsidR="00F4749E" w:rsidRPr="00D61CCE" w:rsidRDefault="001706DC" w:rsidP="006678E0">
      <w:pPr>
        <w:pStyle w:val="MMKurzprofilberschrift"/>
        <w:rPr>
          <w:lang w:val="en-GB"/>
        </w:rPr>
      </w:pPr>
      <w:r w:rsidRPr="00D61CCE">
        <w:rPr>
          <w:rFonts w:cs="Times New Roman"/>
          <w:szCs w:val="24"/>
          <w:lang w:val="en-GB"/>
        </w:rPr>
        <w:t>Leoni performance overview</w:t>
      </w:r>
    </w:p>
    <w:tbl>
      <w:tblPr>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1"/>
        <w:gridCol w:w="1181"/>
        <w:gridCol w:w="1181"/>
        <w:gridCol w:w="1182"/>
      </w:tblGrid>
      <w:tr w:rsidR="00D407C8" w:rsidRPr="00D61CCE" w14:paraId="7349779F" w14:textId="77777777" w:rsidTr="00D407C8">
        <w:tc>
          <w:tcPr>
            <w:tcW w:w="4361" w:type="dxa"/>
          </w:tcPr>
          <w:p w14:paraId="5B10345A" w14:textId="33F45967" w:rsidR="00D407C8" w:rsidRPr="00D61CCE" w:rsidRDefault="00D407C8" w:rsidP="005E2FE7">
            <w:pPr>
              <w:tabs>
                <w:tab w:val="left" w:pos="8505"/>
              </w:tabs>
              <w:rPr>
                <w:rFonts w:ascii="Arial" w:hAnsi="Arial" w:cs="Arial"/>
                <w:b/>
                <w:sz w:val="18"/>
                <w:szCs w:val="18"/>
                <w:lang w:val="en-GB"/>
              </w:rPr>
            </w:pPr>
            <w:r w:rsidRPr="00D61CCE">
              <w:rPr>
                <w:rFonts w:ascii="Arial" w:hAnsi="Arial" w:cs="Arial"/>
                <w:b/>
                <w:sz w:val="18"/>
                <w:szCs w:val="18"/>
                <w:lang w:val="en-GB"/>
              </w:rPr>
              <w:t>Group key figures</w:t>
            </w:r>
          </w:p>
        </w:tc>
        <w:tc>
          <w:tcPr>
            <w:tcW w:w="1181" w:type="dxa"/>
          </w:tcPr>
          <w:p w14:paraId="05B3A8BA" w14:textId="61275597" w:rsidR="00D407C8" w:rsidRPr="00D61CCE" w:rsidRDefault="00D407C8" w:rsidP="00D407C8">
            <w:pPr>
              <w:tabs>
                <w:tab w:val="left" w:pos="8505"/>
              </w:tabs>
              <w:rPr>
                <w:rFonts w:ascii="Arial" w:hAnsi="Arial" w:cs="Arial"/>
                <w:b/>
                <w:sz w:val="18"/>
                <w:szCs w:val="18"/>
                <w:lang w:val="en-GB"/>
              </w:rPr>
            </w:pPr>
            <w:r w:rsidRPr="00D61CCE">
              <w:rPr>
                <w:rFonts w:ascii="Arial" w:hAnsi="Arial" w:cs="Arial"/>
                <w:b/>
                <w:sz w:val="18"/>
                <w:szCs w:val="18"/>
                <w:lang w:val="en-GB"/>
              </w:rPr>
              <w:t>2016</w:t>
            </w:r>
          </w:p>
        </w:tc>
        <w:tc>
          <w:tcPr>
            <w:tcW w:w="1181" w:type="dxa"/>
          </w:tcPr>
          <w:p w14:paraId="5035864B" w14:textId="59A88679" w:rsidR="00D407C8" w:rsidRPr="00D61CCE" w:rsidRDefault="00D407C8" w:rsidP="005E2FE7">
            <w:pPr>
              <w:tabs>
                <w:tab w:val="left" w:pos="8505"/>
              </w:tabs>
              <w:rPr>
                <w:rFonts w:ascii="Arial" w:hAnsi="Arial" w:cs="Arial"/>
                <w:b/>
                <w:sz w:val="18"/>
                <w:szCs w:val="18"/>
                <w:lang w:val="en-GB"/>
              </w:rPr>
            </w:pPr>
            <w:r w:rsidRPr="00D61CCE">
              <w:rPr>
                <w:rFonts w:ascii="Arial" w:hAnsi="Arial" w:cs="Arial"/>
                <w:b/>
                <w:sz w:val="18"/>
                <w:szCs w:val="18"/>
                <w:lang w:val="en-GB"/>
              </w:rPr>
              <w:t>2015</w:t>
            </w:r>
          </w:p>
        </w:tc>
        <w:tc>
          <w:tcPr>
            <w:tcW w:w="1182" w:type="dxa"/>
          </w:tcPr>
          <w:p w14:paraId="167A778F" w14:textId="651308C3" w:rsidR="00D407C8" w:rsidRPr="00D61CCE" w:rsidRDefault="00D407C8" w:rsidP="001706DC">
            <w:pPr>
              <w:tabs>
                <w:tab w:val="left" w:pos="8505"/>
              </w:tabs>
              <w:ind w:left="-13" w:right="-108"/>
              <w:rPr>
                <w:rFonts w:ascii="Arial" w:hAnsi="Arial" w:cs="Arial"/>
                <w:b/>
                <w:sz w:val="18"/>
                <w:szCs w:val="18"/>
                <w:lang w:val="en-GB"/>
              </w:rPr>
            </w:pPr>
            <w:r w:rsidRPr="00D61CCE">
              <w:rPr>
                <w:rFonts w:ascii="Arial" w:hAnsi="Arial" w:cs="Arial"/>
                <w:b/>
                <w:sz w:val="18"/>
                <w:szCs w:val="18"/>
                <w:lang w:val="en-GB"/>
              </w:rPr>
              <w:t>Change</w:t>
            </w:r>
          </w:p>
        </w:tc>
      </w:tr>
      <w:tr w:rsidR="00D407C8" w:rsidRPr="00D61CCE" w14:paraId="2389C128" w14:textId="77777777" w:rsidTr="00D407C8">
        <w:trPr>
          <w:trHeight w:val="284"/>
        </w:trPr>
        <w:tc>
          <w:tcPr>
            <w:tcW w:w="4361" w:type="dxa"/>
            <w:vAlign w:val="center"/>
          </w:tcPr>
          <w:p w14:paraId="1F59C285" w14:textId="40169FC2"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Consolidated sales [€ million]</w:t>
            </w:r>
          </w:p>
        </w:tc>
        <w:tc>
          <w:tcPr>
            <w:tcW w:w="1181" w:type="dxa"/>
            <w:vAlign w:val="center"/>
          </w:tcPr>
          <w:p w14:paraId="736470A6" w14:textId="2157A00F"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4,431.3</w:t>
            </w:r>
          </w:p>
        </w:tc>
        <w:tc>
          <w:tcPr>
            <w:tcW w:w="1181" w:type="dxa"/>
            <w:vAlign w:val="center"/>
          </w:tcPr>
          <w:p w14:paraId="7F3A02A2" w14:textId="313BB590"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4,502.9</w:t>
            </w:r>
          </w:p>
        </w:tc>
        <w:tc>
          <w:tcPr>
            <w:tcW w:w="1182" w:type="dxa"/>
            <w:vAlign w:val="center"/>
          </w:tcPr>
          <w:p w14:paraId="13E06B86" w14:textId="1C68DED4"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(1.6) %</w:t>
            </w:r>
          </w:p>
        </w:tc>
      </w:tr>
      <w:tr w:rsidR="00D407C8" w:rsidRPr="00D61CCE" w14:paraId="4259C592" w14:textId="77777777" w:rsidTr="00D407C8">
        <w:trPr>
          <w:trHeight w:val="284"/>
        </w:trPr>
        <w:tc>
          <w:tcPr>
            <w:tcW w:w="4361" w:type="dxa"/>
            <w:vAlign w:val="center"/>
          </w:tcPr>
          <w:p w14:paraId="70EF0644" w14:textId="3EFB9910"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EBIT [€ million]</w:t>
            </w:r>
          </w:p>
        </w:tc>
        <w:tc>
          <w:tcPr>
            <w:tcW w:w="1181" w:type="dxa"/>
            <w:vAlign w:val="center"/>
          </w:tcPr>
          <w:p w14:paraId="67A8DD3B" w14:textId="69793D1C"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78.1</w:t>
            </w:r>
          </w:p>
        </w:tc>
        <w:tc>
          <w:tcPr>
            <w:tcW w:w="1181" w:type="dxa"/>
            <w:vAlign w:val="center"/>
          </w:tcPr>
          <w:p w14:paraId="362667E3" w14:textId="5AB1147A"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151.3</w:t>
            </w:r>
          </w:p>
        </w:tc>
        <w:tc>
          <w:tcPr>
            <w:tcW w:w="1182" w:type="dxa"/>
            <w:vAlign w:val="center"/>
          </w:tcPr>
          <w:p w14:paraId="3AFACB65" w14:textId="75360130"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(48.4) %</w:t>
            </w:r>
          </w:p>
        </w:tc>
      </w:tr>
      <w:tr w:rsidR="00D407C8" w:rsidRPr="00D61CCE" w14:paraId="141D7760" w14:textId="77777777" w:rsidTr="00D407C8">
        <w:trPr>
          <w:trHeight w:val="284"/>
        </w:trPr>
        <w:tc>
          <w:tcPr>
            <w:tcW w:w="4361" w:type="dxa"/>
            <w:vAlign w:val="center"/>
          </w:tcPr>
          <w:p w14:paraId="7CCDCA61" w14:textId="552BCE82" w:rsidR="00D407C8" w:rsidRPr="00D61CCE" w:rsidRDefault="00D407C8" w:rsidP="005E2FE7">
            <w:pPr>
              <w:tabs>
                <w:tab w:val="left" w:pos="8505"/>
              </w:tabs>
              <w:rPr>
                <w:rFonts w:ascii="Arial" w:hAnsi="Arial" w:cs="Arial"/>
                <w:sz w:val="18"/>
                <w:szCs w:val="18"/>
                <w:lang w:val="en-GB"/>
              </w:rPr>
            </w:pPr>
            <w:r w:rsidRPr="00D61CCE">
              <w:rPr>
                <w:rFonts w:ascii="Arial" w:hAnsi="Arial"/>
                <w:noProof/>
                <w:sz w:val="18"/>
                <w:lang w:val="en-GB"/>
              </w:rPr>
              <w:t xml:space="preserve">Adjusted EBIT </w:t>
            </w:r>
            <w:r w:rsidRPr="00D61CCE">
              <w:rPr>
                <w:rFonts w:ascii="Arial" w:hAnsi="Arial"/>
                <w:noProof/>
                <w:sz w:val="18"/>
                <w:vertAlign w:val="superscript"/>
                <w:lang w:val="en-GB"/>
              </w:rPr>
              <w:t>(1)</w:t>
            </w:r>
            <w:r w:rsidRPr="00D61CCE">
              <w:rPr>
                <w:rFonts w:ascii="Arial" w:hAnsi="Arial"/>
                <w:noProof/>
                <w:sz w:val="18"/>
                <w:lang w:val="en-GB"/>
              </w:rPr>
              <w:t xml:space="preserve"> </w:t>
            </w:r>
            <w:r w:rsidRPr="00D61CCE">
              <w:rPr>
                <w:rFonts w:ascii="Arial" w:hAnsi="Arial"/>
                <w:sz w:val="18"/>
                <w:lang w:val="en-GB"/>
              </w:rPr>
              <w:t>[€ million]</w:t>
            </w:r>
          </w:p>
        </w:tc>
        <w:tc>
          <w:tcPr>
            <w:tcW w:w="1181" w:type="dxa"/>
            <w:vAlign w:val="center"/>
          </w:tcPr>
          <w:p w14:paraId="1E36477F" w14:textId="4E65B892"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160.2</w:t>
            </w:r>
          </w:p>
        </w:tc>
        <w:tc>
          <w:tcPr>
            <w:tcW w:w="1181" w:type="dxa"/>
            <w:vAlign w:val="center"/>
          </w:tcPr>
          <w:p w14:paraId="27D4C08B" w14:textId="31AE13BD"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143.6</w:t>
            </w:r>
          </w:p>
        </w:tc>
        <w:tc>
          <w:tcPr>
            <w:tcW w:w="1182" w:type="dxa"/>
            <w:vAlign w:val="center"/>
          </w:tcPr>
          <w:p w14:paraId="533ADC2C" w14:textId="11A66C37"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+ 11.6 %</w:t>
            </w:r>
          </w:p>
        </w:tc>
      </w:tr>
      <w:tr w:rsidR="00D407C8" w:rsidRPr="00D61CCE" w14:paraId="5613E471" w14:textId="77777777" w:rsidTr="00D407C8">
        <w:trPr>
          <w:trHeight w:val="284"/>
        </w:trPr>
        <w:tc>
          <w:tcPr>
            <w:tcW w:w="4361" w:type="dxa"/>
            <w:vAlign w:val="center"/>
          </w:tcPr>
          <w:p w14:paraId="2997DD57" w14:textId="0C9E26F3"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EBIT margin [%]</w:t>
            </w:r>
          </w:p>
        </w:tc>
        <w:tc>
          <w:tcPr>
            <w:tcW w:w="1181" w:type="dxa"/>
            <w:vAlign w:val="center"/>
          </w:tcPr>
          <w:p w14:paraId="7397D71D" w14:textId="0D4B9158"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1.8</w:t>
            </w:r>
          </w:p>
        </w:tc>
        <w:tc>
          <w:tcPr>
            <w:tcW w:w="1181" w:type="dxa"/>
            <w:vAlign w:val="center"/>
          </w:tcPr>
          <w:p w14:paraId="0BC14444" w14:textId="71F01C6B"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3.4</w:t>
            </w:r>
          </w:p>
        </w:tc>
        <w:tc>
          <w:tcPr>
            <w:tcW w:w="1182" w:type="dxa"/>
            <w:vAlign w:val="center"/>
          </w:tcPr>
          <w:p w14:paraId="1D2CADCA" w14:textId="6BA79FE7" w:rsidR="00D407C8" w:rsidRPr="00D61CCE" w:rsidRDefault="00D407C8" w:rsidP="005E2FE7">
            <w:pPr>
              <w:tabs>
                <w:tab w:val="left" w:pos="8505"/>
              </w:tabs>
              <w:rPr>
                <w:rFonts w:ascii="Arial" w:hAnsi="Arial" w:cs="Arial"/>
                <w:sz w:val="18"/>
                <w:szCs w:val="18"/>
                <w:lang w:val="en-GB"/>
              </w:rPr>
            </w:pPr>
            <w:r w:rsidRPr="00D61CCE">
              <w:rPr>
                <w:rFonts w:ascii="Arial" w:hAnsi="Arial" w:cs="Arial"/>
                <w:sz w:val="18"/>
                <w:szCs w:val="18"/>
                <w:lang w:val="en-GB"/>
              </w:rPr>
              <w:t>--</w:t>
            </w:r>
          </w:p>
        </w:tc>
      </w:tr>
      <w:tr w:rsidR="00D407C8" w:rsidRPr="00D61CCE" w14:paraId="3E6B9E8D" w14:textId="77777777" w:rsidTr="00D407C8">
        <w:trPr>
          <w:trHeight w:val="284"/>
        </w:trPr>
        <w:tc>
          <w:tcPr>
            <w:tcW w:w="4361" w:type="dxa"/>
            <w:vAlign w:val="center"/>
          </w:tcPr>
          <w:p w14:paraId="72413E3E" w14:textId="2A48E3F6"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Consolidated net income [€ million]</w:t>
            </w:r>
          </w:p>
        </w:tc>
        <w:tc>
          <w:tcPr>
            <w:tcW w:w="1181" w:type="dxa"/>
            <w:vAlign w:val="center"/>
          </w:tcPr>
          <w:p w14:paraId="4559CF5C" w14:textId="3625E53D"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10.5</w:t>
            </w:r>
          </w:p>
        </w:tc>
        <w:tc>
          <w:tcPr>
            <w:tcW w:w="1181" w:type="dxa"/>
            <w:vAlign w:val="center"/>
          </w:tcPr>
          <w:p w14:paraId="7E6E2B89" w14:textId="237F172E"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77.3</w:t>
            </w:r>
          </w:p>
        </w:tc>
        <w:tc>
          <w:tcPr>
            <w:tcW w:w="1182" w:type="dxa"/>
            <w:vAlign w:val="center"/>
          </w:tcPr>
          <w:p w14:paraId="1542CAD2" w14:textId="599C220C"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(86.3) %</w:t>
            </w:r>
          </w:p>
        </w:tc>
      </w:tr>
      <w:tr w:rsidR="00D407C8" w:rsidRPr="00D61CCE" w14:paraId="1BBCAE81" w14:textId="77777777" w:rsidTr="00D407C8">
        <w:trPr>
          <w:trHeight w:val="284"/>
        </w:trPr>
        <w:tc>
          <w:tcPr>
            <w:tcW w:w="4361" w:type="dxa"/>
            <w:vAlign w:val="center"/>
          </w:tcPr>
          <w:p w14:paraId="60A25F52" w14:textId="27AF506C" w:rsidR="00D407C8" w:rsidRPr="00D61CCE" w:rsidRDefault="00D407C8" w:rsidP="00D407C8">
            <w:pPr>
              <w:tabs>
                <w:tab w:val="left" w:pos="8505"/>
              </w:tabs>
              <w:rPr>
                <w:rFonts w:ascii="Arial" w:hAnsi="Arial" w:cs="Arial"/>
                <w:sz w:val="18"/>
                <w:szCs w:val="18"/>
                <w:lang w:val="en-GB"/>
              </w:rPr>
            </w:pPr>
            <w:r w:rsidRPr="00D61CCE">
              <w:rPr>
                <w:rFonts w:ascii="Arial" w:hAnsi="Arial"/>
                <w:noProof/>
                <w:sz w:val="18"/>
                <w:lang w:val="en-GB"/>
              </w:rPr>
              <w:t>Free cash flow [</w:t>
            </w:r>
            <w:r w:rsidRPr="00D61CCE">
              <w:rPr>
                <w:rFonts w:ascii="Arial" w:hAnsi="Arial"/>
                <w:sz w:val="18"/>
                <w:lang w:val="en-GB"/>
              </w:rPr>
              <w:t>€ million]</w:t>
            </w:r>
          </w:p>
        </w:tc>
        <w:tc>
          <w:tcPr>
            <w:tcW w:w="1181" w:type="dxa"/>
            <w:vAlign w:val="center"/>
          </w:tcPr>
          <w:p w14:paraId="1A7D77D1" w14:textId="1E8258B2"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(40.3)</w:t>
            </w:r>
          </w:p>
        </w:tc>
        <w:tc>
          <w:tcPr>
            <w:tcW w:w="1181" w:type="dxa"/>
            <w:vAlign w:val="center"/>
          </w:tcPr>
          <w:p w14:paraId="1D810909" w14:textId="0CE287A5"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(5.2)</w:t>
            </w:r>
          </w:p>
        </w:tc>
        <w:tc>
          <w:tcPr>
            <w:tcW w:w="1182" w:type="dxa"/>
            <w:vAlign w:val="center"/>
          </w:tcPr>
          <w:p w14:paraId="23695A5F" w14:textId="03871057"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(675) %</w:t>
            </w:r>
          </w:p>
        </w:tc>
      </w:tr>
      <w:tr w:rsidR="00D407C8" w:rsidRPr="00D61CCE" w14:paraId="1C40E474" w14:textId="77777777" w:rsidTr="00D407C8">
        <w:trPr>
          <w:trHeight w:val="284"/>
        </w:trPr>
        <w:tc>
          <w:tcPr>
            <w:tcW w:w="4361" w:type="dxa"/>
            <w:vAlign w:val="center"/>
          </w:tcPr>
          <w:p w14:paraId="4F9F5A15" w14:textId="3C871FC8"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Return on capital employed [%]</w:t>
            </w:r>
          </w:p>
        </w:tc>
        <w:tc>
          <w:tcPr>
            <w:tcW w:w="1181" w:type="dxa"/>
            <w:vAlign w:val="center"/>
          </w:tcPr>
          <w:p w14:paraId="3A24165B" w14:textId="2AEEAC39"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5.1</w:t>
            </w:r>
          </w:p>
        </w:tc>
        <w:tc>
          <w:tcPr>
            <w:tcW w:w="1181" w:type="dxa"/>
            <w:vAlign w:val="center"/>
          </w:tcPr>
          <w:p w14:paraId="2E92C96D" w14:textId="3752356B"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10.0</w:t>
            </w:r>
          </w:p>
        </w:tc>
        <w:tc>
          <w:tcPr>
            <w:tcW w:w="1182" w:type="dxa"/>
            <w:vAlign w:val="center"/>
          </w:tcPr>
          <w:p w14:paraId="6CC9FECD" w14:textId="549DEC50" w:rsidR="00D407C8" w:rsidRPr="00D61CCE" w:rsidRDefault="00D407C8" w:rsidP="005E2FE7">
            <w:pPr>
              <w:tabs>
                <w:tab w:val="left" w:pos="8505"/>
              </w:tabs>
              <w:rPr>
                <w:rFonts w:ascii="Arial" w:hAnsi="Arial" w:cs="Arial"/>
                <w:sz w:val="18"/>
                <w:szCs w:val="18"/>
                <w:lang w:val="en-GB"/>
              </w:rPr>
            </w:pPr>
            <w:r w:rsidRPr="00D61CCE">
              <w:rPr>
                <w:rFonts w:ascii="Arial" w:hAnsi="Arial" w:cs="Arial"/>
                <w:sz w:val="18"/>
                <w:szCs w:val="18"/>
                <w:lang w:val="en-GB"/>
              </w:rPr>
              <w:t>--</w:t>
            </w:r>
          </w:p>
        </w:tc>
      </w:tr>
      <w:tr w:rsidR="00D407C8" w:rsidRPr="00D61CCE" w14:paraId="53AF616D" w14:textId="77777777" w:rsidTr="00D407C8">
        <w:trPr>
          <w:trHeight w:val="284"/>
        </w:trPr>
        <w:tc>
          <w:tcPr>
            <w:tcW w:w="4361" w:type="dxa"/>
            <w:vAlign w:val="center"/>
          </w:tcPr>
          <w:p w14:paraId="1EFEFE47" w14:textId="26DB0949"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Capital expenditure on property, plant and equipment as well as intangible assets [€ million]</w:t>
            </w:r>
          </w:p>
        </w:tc>
        <w:tc>
          <w:tcPr>
            <w:tcW w:w="1181" w:type="dxa"/>
            <w:vAlign w:val="center"/>
          </w:tcPr>
          <w:p w14:paraId="1733F672" w14:textId="5923BA71"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210.8</w:t>
            </w:r>
          </w:p>
        </w:tc>
        <w:tc>
          <w:tcPr>
            <w:tcW w:w="1181" w:type="dxa"/>
            <w:vAlign w:val="center"/>
          </w:tcPr>
          <w:p w14:paraId="2C236EBB" w14:textId="67D81C11"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247.5</w:t>
            </w:r>
          </w:p>
        </w:tc>
        <w:tc>
          <w:tcPr>
            <w:tcW w:w="1182" w:type="dxa"/>
            <w:vAlign w:val="center"/>
          </w:tcPr>
          <w:p w14:paraId="2F61BD7E" w14:textId="1CB27F92"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(14.8) %</w:t>
            </w:r>
          </w:p>
        </w:tc>
      </w:tr>
      <w:tr w:rsidR="00D407C8" w:rsidRPr="00D61CCE" w14:paraId="21017302" w14:textId="77777777" w:rsidTr="00D407C8">
        <w:trPr>
          <w:trHeight w:val="284"/>
        </w:trPr>
        <w:tc>
          <w:tcPr>
            <w:tcW w:w="4361" w:type="dxa"/>
            <w:vAlign w:val="center"/>
          </w:tcPr>
          <w:p w14:paraId="050BBCA9" w14:textId="3BFFEFE4" w:rsidR="00D407C8" w:rsidRPr="00D61CCE" w:rsidRDefault="00D407C8" w:rsidP="005E2FE7">
            <w:pPr>
              <w:tabs>
                <w:tab w:val="left" w:pos="8505"/>
              </w:tabs>
              <w:rPr>
                <w:rFonts w:ascii="Arial" w:hAnsi="Arial" w:cs="Arial"/>
                <w:sz w:val="18"/>
                <w:szCs w:val="18"/>
                <w:lang w:val="en-GB"/>
              </w:rPr>
            </w:pPr>
            <w:r w:rsidRPr="00D61CCE">
              <w:rPr>
                <w:rFonts w:ascii="Arial" w:hAnsi="Arial"/>
                <w:sz w:val="18"/>
                <w:lang w:val="en-GB"/>
              </w:rPr>
              <w:t>Employees (as at 31 Dec.)</w:t>
            </w:r>
          </w:p>
        </w:tc>
        <w:tc>
          <w:tcPr>
            <w:tcW w:w="1181" w:type="dxa"/>
            <w:vAlign w:val="center"/>
          </w:tcPr>
          <w:p w14:paraId="7F2EE997" w14:textId="04C4C65B"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79,037</w:t>
            </w:r>
          </w:p>
        </w:tc>
        <w:tc>
          <w:tcPr>
            <w:tcW w:w="1181" w:type="dxa"/>
            <w:vAlign w:val="center"/>
          </w:tcPr>
          <w:p w14:paraId="675695F3" w14:textId="68B99BFA" w:rsidR="00D407C8" w:rsidRPr="00D61CCE" w:rsidRDefault="00D407C8" w:rsidP="00EE4972">
            <w:pPr>
              <w:tabs>
                <w:tab w:val="left" w:pos="8505"/>
              </w:tabs>
              <w:rPr>
                <w:rFonts w:ascii="Arial" w:hAnsi="Arial" w:cs="Arial"/>
                <w:sz w:val="18"/>
                <w:szCs w:val="18"/>
                <w:lang w:val="en-GB"/>
              </w:rPr>
            </w:pPr>
            <w:r w:rsidRPr="00D61CCE">
              <w:rPr>
                <w:rFonts w:ascii="Arial" w:hAnsi="Arial" w:cs="Arial"/>
                <w:sz w:val="18"/>
                <w:szCs w:val="18"/>
                <w:lang w:val="en-GB"/>
              </w:rPr>
              <w:t>74,018</w:t>
            </w:r>
          </w:p>
        </w:tc>
        <w:tc>
          <w:tcPr>
            <w:tcW w:w="1182" w:type="dxa"/>
            <w:vAlign w:val="center"/>
          </w:tcPr>
          <w:p w14:paraId="3B9011A3" w14:textId="2AA7E815" w:rsidR="00D407C8" w:rsidRPr="00D61CCE" w:rsidRDefault="00D407C8" w:rsidP="00D407C8">
            <w:pPr>
              <w:tabs>
                <w:tab w:val="left" w:pos="8505"/>
              </w:tabs>
              <w:rPr>
                <w:rFonts w:ascii="Arial" w:hAnsi="Arial" w:cs="Arial"/>
                <w:sz w:val="18"/>
                <w:szCs w:val="18"/>
                <w:lang w:val="en-GB"/>
              </w:rPr>
            </w:pPr>
            <w:r w:rsidRPr="00D61CCE">
              <w:rPr>
                <w:rFonts w:ascii="Arial" w:hAnsi="Arial" w:cs="Arial"/>
                <w:sz w:val="18"/>
                <w:szCs w:val="18"/>
                <w:lang w:val="en-GB"/>
              </w:rPr>
              <w:t>+ 6.8 %</w:t>
            </w:r>
          </w:p>
        </w:tc>
      </w:tr>
    </w:tbl>
    <w:p w14:paraId="4FA5D091" w14:textId="77777777" w:rsidR="006678E0" w:rsidRPr="00D61CCE" w:rsidRDefault="006678E0" w:rsidP="006678E0">
      <w:pPr>
        <w:autoSpaceDE w:val="0"/>
        <w:autoSpaceDN w:val="0"/>
        <w:adjustRightInd w:val="0"/>
        <w:ind w:left="360" w:right="1854"/>
        <w:rPr>
          <w:rFonts w:ascii="Arial" w:hAnsi="Arial" w:cs="Arial"/>
          <w:i/>
          <w:sz w:val="16"/>
          <w:szCs w:val="16"/>
          <w:lang w:val="en-GB"/>
        </w:rPr>
      </w:pPr>
    </w:p>
    <w:p w14:paraId="53ACC1B2" w14:textId="450494E3" w:rsidR="001706DC" w:rsidRPr="00D61CCE" w:rsidRDefault="001706DC" w:rsidP="00D407C8">
      <w:pPr>
        <w:pStyle w:val="Listenabsatz"/>
        <w:numPr>
          <w:ilvl w:val="0"/>
          <w:numId w:val="3"/>
        </w:numPr>
        <w:autoSpaceDE w:val="0"/>
        <w:autoSpaceDN w:val="0"/>
        <w:adjustRightInd w:val="0"/>
        <w:ind w:right="1711"/>
        <w:rPr>
          <w:rFonts w:ascii="Arial" w:hAnsi="Arial"/>
          <w:i/>
          <w:sz w:val="16"/>
          <w:lang w:val="en-GB"/>
        </w:rPr>
      </w:pPr>
      <w:r w:rsidRPr="00D61CCE">
        <w:rPr>
          <w:rFonts w:ascii="Arial" w:hAnsi="Arial"/>
          <w:i/>
          <w:sz w:val="16"/>
          <w:lang w:val="en-GB"/>
        </w:rPr>
        <w:t>Earnings adjusted for the impact of revaluation as part of allocating the prices of the major acquisitions, restructuring, capital gains on the disposal of businesses and income from business combinations including related derivatives</w:t>
      </w:r>
      <w:r w:rsidR="00D407C8" w:rsidRPr="00D61CCE">
        <w:rPr>
          <w:rFonts w:ascii="Arial" w:hAnsi="Arial"/>
          <w:i/>
          <w:sz w:val="16"/>
          <w:lang w:val="en-GB"/>
        </w:rPr>
        <w:t xml:space="preserve"> as well as the charges due to the fraud case</w:t>
      </w:r>
    </w:p>
    <w:p w14:paraId="3E4A7119" w14:textId="71D271BD" w:rsidR="006678E0" w:rsidRPr="00D61CCE" w:rsidRDefault="001706DC" w:rsidP="00D407C8">
      <w:pPr>
        <w:pStyle w:val="Listenabsatz"/>
        <w:autoSpaceDE w:val="0"/>
        <w:autoSpaceDN w:val="0"/>
        <w:adjustRightInd w:val="0"/>
        <w:ind w:left="284" w:right="1711"/>
        <w:rPr>
          <w:rFonts w:ascii="Arial" w:hAnsi="Arial"/>
          <w:i/>
          <w:sz w:val="16"/>
          <w:lang w:val="en-GB"/>
        </w:rPr>
      </w:pPr>
      <w:r w:rsidRPr="00D61CCE">
        <w:rPr>
          <w:rFonts w:ascii="Arial" w:hAnsi="Arial"/>
          <w:i/>
          <w:sz w:val="16"/>
          <w:lang w:val="en-GB"/>
        </w:rPr>
        <w:lastRenderedPageBreak/>
        <w:br/>
      </w:r>
    </w:p>
    <w:p w14:paraId="12DF7F9D" w14:textId="209528DB" w:rsidR="00A52F7C" w:rsidRPr="00D61CCE" w:rsidRDefault="001706DC" w:rsidP="00D61CCE">
      <w:pPr>
        <w:ind w:right="1922"/>
        <w:rPr>
          <w:rFonts w:ascii="Arial" w:hAnsi="Arial" w:cs="Arial"/>
          <w:i/>
          <w:sz w:val="22"/>
          <w:szCs w:val="22"/>
          <w:lang w:val="en-GB"/>
        </w:rPr>
      </w:pPr>
      <w:r w:rsidRPr="00D61CCE">
        <w:rPr>
          <w:rFonts w:ascii="Arial" w:hAnsi="Arial"/>
          <w:sz w:val="36"/>
          <w:szCs w:val="36"/>
          <w:lang w:val="en-GB"/>
        </w:rPr>
        <w:sym w:font="Wingdings" w:char="F046"/>
      </w:r>
      <w:r w:rsidRPr="00D61CCE">
        <w:rPr>
          <w:rFonts w:ascii="Arial" w:hAnsi="Arial"/>
          <w:i/>
          <w:sz w:val="20"/>
          <w:lang w:val="en-GB"/>
        </w:rPr>
        <w:t xml:space="preserve"> </w:t>
      </w:r>
      <w:r w:rsidRPr="00D61CCE">
        <w:rPr>
          <w:rFonts w:ascii="Arial" w:hAnsi="Arial"/>
          <w:i/>
          <w:sz w:val="22"/>
          <w:szCs w:val="22"/>
          <w:lang w:val="en-GB"/>
        </w:rPr>
        <w:t xml:space="preserve">Related illustration material and further information can be downloaded </w:t>
      </w:r>
      <w:r w:rsidRPr="00D61CCE">
        <w:rPr>
          <w:rFonts w:ascii="Arial" w:hAnsi="Arial" w:cs="Arial"/>
          <w:i/>
          <w:sz w:val="22"/>
          <w:szCs w:val="22"/>
          <w:lang w:val="en-GB"/>
        </w:rPr>
        <w:t xml:space="preserve">next to this release at </w:t>
      </w:r>
      <w:hyperlink r:id="rId9" w:history="1">
        <w:r w:rsidR="00D61CCE" w:rsidRPr="00D61CCE">
          <w:rPr>
            <w:rStyle w:val="Hyperlink"/>
            <w:rFonts w:ascii="Arial" w:hAnsi="Arial" w:cs="Arial"/>
            <w:i/>
            <w:sz w:val="22"/>
            <w:szCs w:val="22"/>
            <w:lang w:val="en-GB"/>
          </w:rPr>
          <w:t>www.leoni.com/en/press/releases/details/leoni-sees-favourable-trend-for-future-business-performance/</w:t>
        </w:r>
      </w:hyperlink>
      <w:r w:rsidRPr="00D61CCE">
        <w:rPr>
          <w:rFonts w:ascii="Arial" w:hAnsi="Arial"/>
          <w:i/>
          <w:sz w:val="21"/>
          <w:lang w:val="en-GB"/>
        </w:rPr>
        <w:t xml:space="preserve"> </w:t>
      </w:r>
      <w:r w:rsidRPr="00D61CCE">
        <w:rPr>
          <w:rFonts w:ascii="Arial" w:hAnsi="Arial"/>
          <w:i/>
          <w:sz w:val="21"/>
          <w:lang w:val="en-GB"/>
        </w:rPr>
        <w:br/>
      </w:r>
      <w:r w:rsidRPr="00D61CCE">
        <w:rPr>
          <w:rFonts w:ascii="Arial" w:hAnsi="Arial"/>
          <w:sz w:val="36"/>
          <w:szCs w:val="36"/>
          <w:lang w:val="en-GB"/>
        </w:rPr>
        <w:sym w:font="Wingdings" w:char="F046"/>
      </w:r>
      <w:r w:rsidRPr="00D61CCE">
        <w:rPr>
          <w:rFonts w:ascii="Arial" w:hAnsi="Arial"/>
          <w:i/>
          <w:sz w:val="20"/>
          <w:lang w:val="en-GB"/>
        </w:rPr>
        <w:t xml:space="preserve"> </w:t>
      </w:r>
      <w:proofErr w:type="gramStart"/>
      <w:r w:rsidRPr="00D61CCE">
        <w:rPr>
          <w:rFonts w:ascii="Arial" w:hAnsi="Arial"/>
          <w:i/>
          <w:sz w:val="22"/>
          <w:szCs w:val="22"/>
          <w:lang w:val="en-GB"/>
        </w:rPr>
        <w:t>The</w:t>
      </w:r>
      <w:proofErr w:type="gramEnd"/>
      <w:r w:rsidRPr="00D61CCE">
        <w:rPr>
          <w:rFonts w:ascii="Arial" w:hAnsi="Arial"/>
          <w:i/>
          <w:sz w:val="22"/>
          <w:szCs w:val="22"/>
          <w:lang w:val="en-GB"/>
        </w:rPr>
        <w:t xml:space="preserve"> complete annual report can be downloaded from </w:t>
      </w:r>
      <w:hyperlink r:id="rId10" w:history="1">
        <w:r w:rsidRPr="00D61CCE">
          <w:rPr>
            <w:rStyle w:val="Hyperlink"/>
            <w:rFonts w:ascii="Arial" w:hAnsi="Arial" w:cs="Arial"/>
            <w:i/>
            <w:sz w:val="22"/>
            <w:szCs w:val="22"/>
            <w:lang w:val="en-GB"/>
          </w:rPr>
          <w:t>www.leoni.com/en/financial-publications/</w:t>
        </w:r>
      </w:hyperlink>
    </w:p>
    <w:p w14:paraId="7266ABB7" w14:textId="7ECCD39F" w:rsidR="001706DC" w:rsidRPr="00D61CCE" w:rsidRDefault="001706DC" w:rsidP="001706DC">
      <w:pPr>
        <w:pStyle w:val="MMKurzprofilberschrift"/>
        <w:rPr>
          <w:lang w:val="en-GB"/>
        </w:rPr>
      </w:pPr>
      <w:r w:rsidRPr="00D61CCE">
        <w:rPr>
          <w:lang w:val="en-GB"/>
        </w:rPr>
        <w:t>About the Leoni Group</w:t>
      </w:r>
    </w:p>
    <w:p w14:paraId="29DF6B2C" w14:textId="1C6C0F95" w:rsidR="001706DC" w:rsidRPr="00D61CCE" w:rsidRDefault="001706DC" w:rsidP="001706DC">
      <w:pPr>
        <w:pStyle w:val="MMKurzprofil"/>
        <w:rPr>
          <w:sz w:val="12"/>
          <w:szCs w:val="12"/>
          <w:lang w:val="en-GB"/>
        </w:rPr>
      </w:pPr>
      <w:r w:rsidRPr="00D61CCE">
        <w:rPr>
          <w:lang w:val="en-GB"/>
        </w:rPr>
        <w:t xml:space="preserve">Leoni is a global supplier of wires, optical </w:t>
      </w:r>
      <w:proofErr w:type="spellStart"/>
      <w:r w:rsidRPr="00D61CCE">
        <w:rPr>
          <w:lang w:val="en-GB"/>
        </w:rPr>
        <w:t>fibers</w:t>
      </w:r>
      <w:proofErr w:type="spellEnd"/>
      <w:r w:rsidRPr="00D61CCE">
        <w:rPr>
          <w:lang w:val="en-GB"/>
        </w:rPr>
        <w:t xml:space="preserve">, cables and cable systems as well as related services for the automotive sector and further industries. Leoni develops and produces technically sophisticated products from single-core automotive cables through to complete wiring systems. Leoni’s product range also comprises wires and strands, standardised cables, special cables and cable system assemblies for various industrial markets. The group of companies, which is listed on the German MDAX, employs </w:t>
      </w:r>
      <w:r w:rsidR="00A42852">
        <w:rPr>
          <w:lang w:val="en-GB"/>
        </w:rPr>
        <w:t>more than</w:t>
      </w:r>
      <w:r w:rsidR="00A42852" w:rsidRPr="00496D4E">
        <w:rPr>
          <w:lang w:val="en-US"/>
        </w:rPr>
        <w:t xml:space="preserve"> 7</w:t>
      </w:r>
      <w:r w:rsidR="00A42852">
        <w:rPr>
          <w:lang w:val="en-US"/>
        </w:rPr>
        <w:t>9</w:t>
      </w:r>
      <w:r w:rsidR="00A42852" w:rsidRPr="00496D4E">
        <w:rPr>
          <w:lang w:val="en-US"/>
        </w:rPr>
        <w:t>,000 people in 32 countries and generated consolidated sales of EUR 4.</w:t>
      </w:r>
      <w:r w:rsidR="00A42852">
        <w:rPr>
          <w:lang w:val="en-US"/>
        </w:rPr>
        <w:t>4</w:t>
      </w:r>
      <w:r w:rsidR="00A42852" w:rsidRPr="00496D4E">
        <w:rPr>
          <w:lang w:val="en-US"/>
        </w:rPr>
        <w:t xml:space="preserve"> billion in 201</w:t>
      </w:r>
      <w:r w:rsidR="00A42852">
        <w:rPr>
          <w:lang w:val="en-US"/>
        </w:rPr>
        <w:t xml:space="preserve">6. </w:t>
      </w:r>
      <w:r w:rsidR="00A42852">
        <w:rPr>
          <w:lang w:val="en-GB"/>
        </w:rPr>
        <w:t>In 2017, Leoni celebrates its 100 years anniversary</w:t>
      </w:r>
      <w:r w:rsidRPr="00D61CCE">
        <w:rPr>
          <w:lang w:val="en-GB"/>
        </w:rPr>
        <w:t>.</w:t>
      </w:r>
      <w:bookmarkStart w:id="0" w:name="_GoBack"/>
      <w:bookmarkEnd w:id="0"/>
      <w:r w:rsidR="00EE4972" w:rsidRPr="00D61CCE">
        <w:rPr>
          <w:lang w:val="en-GB"/>
        </w:rPr>
        <w:br/>
      </w:r>
    </w:p>
    <w:p w14:paraId="4EC63CEB" w14:textId="537E7F7B" w:rsidR="001706DC" w:rsidRPr="00D61CCE" w:rsidRDefault="004216C5" w:rsidP="001706DC">
      <w:pPr>
        <w:pStyle w:val="MMKurzprofil"/>
        <w:rPr>
          <w:noProof/>
          <w:lang w:val="en-GB"/>
        </w:rPr>
      </w:pPr>
      <w:hyperlink r:id="rId11" w:tgtFrame="_blank" w:history="1">
        <w:r w:rsidR="00041721">
          <w:rPr>
            <w:noProof/>
            <w:lang w:val="en-GB"/>
          </w:rPr>
          <w:pict w14:anchorId="506AA6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href="http://www.facebook.com/theleonigroup" target="_blank" style="width:14.4pt;height:14.4pt;visibility:visible;mso-wrap-style:square" o:button="t">
              <v:imagedata r:id="rId12" o:title=""/>
            </v:shape>
          </w:pict>
        </w:r>
      </w:hyperlink>
      <w:r w:rsidR="001706DC" w:rsidRPr="00D61CCE">
        <w:rPr>
          <w:noProof/>
          <w:lang w:val="en-GB"/>
        </w:rPr>
        <w:t xml:space="preserve"> </w:t>
      </w:r>
      <w:r w:rsidR="001706DC" w:rsidRPr="00D61CCE">
        <w:rPr>
          <w:noProof/>
        </w:rPr>
        <w:drawing>
          <wp:inline distT="0" distB="0" distL="0" distR="0" wp14:anchorId="388C71E8" wp14:editId="75A6E765">
            <wp:extent cx="180975" cy="180975"/>
            <wp:effectExtent l="0" t="0" r="9525" b="9525"/>
            <wp:docPr id="7" name="Grafik 7">
              <a:hlinkClick xmlns:a="http://schemas.openxmlformats.org/drawingml/2006/main" r:id="rId13"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p>
    <w:p w14:paraId="5DC6621F" w14:textId="66CE36DB" w:rsidR="001706DC" w:rsidRPr="00D61CCE" w:rsidRDefault="001706DC" w:rsidP="001706DC">
      <w:pPr>
        <w:pStyle w:val="MMKurzprofilberschrift"/>
        <w:rPr>
          <w:lang w:val="en-GB"/>
        </w:rPr>
      </w:pPr>
      <w:r w:rsidRPr="00D61CCE">
        <w:rPr>
          <w:lang w:val="en-GB"/>
        </w:rPr>
        <w:t>Contact person for journalists</w:t>
      </w:r>
    </w:p>
    <w:p w14:paraId="19EBB826" w14:textId="77777777" w:rsidR="001706DC" w:rsidRPr="00D61CCE" w:rsidRDefault="001706DC" w:rsidP="001706DC">
      <w:pPr>
        <w:pStyle w:val="MMKurzprofil"/>
        <w:rPr>
          <w:lang w:val="en-GB"/>
        </w:rPr>
      </w:pPr>
      <w:r w:rsidRPr="00D61CCE">
        <w:rPr>
          <w:lang w:val="en-GB"/>
        </w:rPr>
        <w:t>Sven Schmidt</w:t>
      </w:r>
    </w:p>
    <w:p w14:paraId="03045004" w14:textId="77777777" w:rsidR="001706DC" w:rsidRPr="00D61CCE" w:rsidRDefault="001706DC" w:rsidP="001706DC">
      <w:pPr>
        <w:pStyle w:val="MMKurzprofil"/>
        <w:rPr>
          <w:lang w:val="en-GB"/>
        </w:rPr>
      </w:pPr>
      <w:r w:rsidRPr="00D61CCE">
        <w:rPr>
          <w:lang w:val="en-GB"/>
        </w:rPr>
        <w:t>Corporate Public &amp; Media Relations</w:t>
      </w:r>
    </w:p>
    <w:p w14:paraId="577E647F" w14:textId="77777777" w:rsidR="001706DC" w:rsidRPr="00D61CCE" w:rsidRDefault="001706DC" w:rsidP="001706DC">
      <w:pPr>
        <w:pStyle w:val="MMKurzprofil"/>
        <w:rPr>
          <w:lang w:val="en-GB"/>
        </w:rPr>
      </w:pPr>
      <w:r w:rsidRPr="00D61CCE">
        <w:rPr>
          <w:lang w:val="en-GB"/>
        </w:rPr>
        <w:t>LEONI AG</w:t>
      </w:r>
    </w:p>
    <w:p w14:paraId="26E23B13" w14:textId="77777777" w:rsidR="001706DC" w:rsidRPr="00D61CCE" w:rsidRDefault="001706DC" w:rsidP="001706DC">
      <w:pPr>
        <w:pStyle w:val="MMKurzprofil"/>
        <w:rPr>
          <w:lang w:val="en-GB"/>
        </w:rPr>
      </w:pPr>
      <w:proofErr w:type="spellStart"/>
      <w:r w:rsidRPr="00D61CCE">
        <w:rPr>
          <w:lang w:val="en-GB"/>
        </w:rPr>
        <w:t>Telefon</w:t>
      </w:r>
      <w:proofErr w:type="spellEnd"/>
      <w:r w:rsidRPr="00D61CCE">
        <w:rPr>
          <w:lang w:val="en-GB"/>
        </w:rPr>
        <w:tab/>
        <w:t>+49 (0)911-2023-467</w:t>
      </w:r>
    </w:p>
    <w:p w14:paraId="500117B3" w14:textId="77777777" w:rsidR="001706DC" w:rsidRPr="00D61CCE" w:rsidRDefault="001706DC" w:rsidP="001706DC">
      <w:pPr>
        <w:pStyle w:val="MMKurzprofil"/>
        <w:rPr>
          <w:lang w:val="en-GB"/>
        </w:rPr>
      </w:pPr>
      <w:r w:rsidRPr="00D61CCE">
        <w:rPr>
          <w:lang w:val="en-GB"/>
        </w:rPr>
        <w:t>Telefax</w:t>
      </w:r>
      <w:r w:rsidRPr="00D61CCE">
        <w:rPr>
          <w:lang w:val="en-GB"/>
        </w:rPr>
        <w:tab/>
        <w:t>+49 (0)911-2023-231</w:t>
      </w:r>
    </w:p>
    <w:p w14:paraId="2687E3B5" w14:textId="7A0092AA" w:rsidR="001706DC" w:rsidRPr="00D61CCE" w:rsidRDefault="001706DC" w:rsidP="001706DC">
      <w:pPr>
        <w:pStyle w:val="MMKurzprofil"/>
        <w:rPr>
          <w:rStyle w:val="Hyperlink"/>
          <w:lang w:val="en-GB"/>
        </w:rPr>
      </w:pPr>
      <w:r w:rsidRPr="00D61CCE">
        <w:rPr>
          <w:lang w:val="en-GB"/>
        </w:rPr>
        <w:t>E-Mail</w:t>
      </w:r>
      <w:r w:rsidRPr="00D61CCE">
        <w:rPr>
          <w:lang w:val="en-GB"/>
        </w:rPr>
        <w:tab/>
      </w:r>
      <w:hyperlink r:id="rId15" w:history="1">
        <w:r w:rsidRPr="00D61CCE">
          <w:rPr>
            <w:rStyle w:val="Hyperlink"/>
            <w:lang w:val="en-GB"/>
          </w:rPr>
          <w:t>presse@leoni.com</w:t>
        </w:r>
      </w:hyperlink>
    </w:p>
    <w:p w14:paraId="5463915E" w14:textId="77777777" w:rsidR="001706DC" w:rsidRPr="00D61CCE" w:rsidRDefault="001706DC" w:rsidP="001706DC">
      <w:pPr>
        <w:pStyle w:val="MMKurzprofil"/>
        <w:rPr>
          <w:rStyle w:val="Hyperlink"/>
          <w:lang w:val="en-GB"/>
        </w:rPr>
      </w:pPr>
    </w:p>
    <w:sectPr w:rsidR="001706DC" w:rsidRPr="00D61CCE" w:rsidSect="009B6801">
      <w:headerReference w:type="default" r:id="rId16"/>
      <w:footerReference w:type="default" r:id="rId17"/>
      <w:headerReference w:type="first" r:id="rId18"/>
      <w:footerReference w:type="first" r:id="rId19"/>
      <w:pgSz w:w="11900" w:h="16840" w:code="9"/>
      <w:pgMar w:top="2977" w:right="833" w:bottom="1701" w:left="1418" w:header="0" w:footer="464" w:gutter="0"/>
      <w:cols w:space="708"/>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5E4FBD" w15:done="0"/>
  <w15:commentEx w15:paraId="30CF6153" w15:done="0"/>
  <w15:commentEx w15:paraId="1ED567F9" w15:done="0"/>
  <w15:commentEx w15:paraId="17BF9AB2" w15:done="0"/>
  <w15:commentEx w15:paraId="2C9E4B2C" w15:done="0"/>
  <w15:commentEx w15:paraId="4FB6ACC7" w15:done="0"/>
  <w15:commentEx w15:paraId="0EB39C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8C98D5" w14:textId="77777777" w:rsidR="00BC62DE" w:rsidRPr="00A44C71" w:rsidRDefault="00BC62DE">
      <w:pPr>
        <w:rPr>
          <w:sz w:val="16"/>
        </w:rPr>
      </w:pPr>
      <w:r>
        <w:separator/>
      </w:r>
    </w:p>
  </w:endnote>
  <w:endnote w:type="continuationSeparator" w:id="0">
    <w:p w14:paraId="6F2D8FD7" w14:textId="77777777" w:rsidR="00BC62DE" w:rsidRPr="00A44C71" w:rsidRDefault="00BC62DE">
      <w:pPr>
        <w:rPr>
          <w:sz w:val="16"/>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yriad Regular">
    <w:panose1 w:val="020B0500000000000000"/>
    <w:charset w:val="00"/>
    <w:family w:val="swiss"/>
    <w:pitch w:val="variable"/>
    <w:sig w:usb0="80000027" w:usb1="00000000" w:usb2="00000000" w:usb3="00000000" w:csb0="00000003" w:csb1="00000000"/>
  </w:font>
  <w:font w:name="Myriad Condensed">
    <w:panose1 w:val="020B0500000000000000"/>
    <w:charset w:val="00"/>
    <w:family w:val="swiss"/>
    <w:pitch w:val="variable"/>
    <w:sig w:usb0="8000002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Lucida Grande">
    <w:altName w:val="Arial"/>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77C7B" w14:textId="7C386EAC" w:rsidR="00BC62DE" w:rsidRPr="009A05EE" w:rsidRDefault="00041721" w:rsidP="009F6805">
    <w:pPr>
      <w:pStyle w:val="Fuzeile"/>
      <w:tabs>
        <w:tab w:val="clear" w:pos="4536"/>
        <w:tab w:val="left" w:pos="28"/>
        <w:tab w:val="left" w:pos="142"/>
        <w:tab w:val="left" w:pos="2879"/>
        <w:tab w:val="left" w:pos="3788"/>
        <w:tab w:val="left" w:pos="5842"/>
        <w:tab w:val="left" w:pos="7729"/>
      </w:tabs>
      <w:spacing w:before="20"/>
      <w:rPr>
        <w:rFonts w:ascii="Arial" w:hAnsi="Arial" w:cs="Arial"/>
        <w:i/>
        <w:sz w:val="12"/>
        <w:szCs w:val="14"/>
      </w:rPr>
    </w:pPr>
    <w:r>
      <w:rPr>
        <w:noProof/>
      </w:rPr>
      <w:drawing>
        <wp:anchor distT="0" distB="0" distL="114300" distR="114300" simplePos="0" relativeHeight="251661312" behindDoc="0" locked="0" layoutInCell="1" allowOverlap="1" wp14:anchorId="1BFAC18F" wp14:editId="7DE05533">
          <wp:simplePos x="0" y="0"/>
          <wp:positionH relativeFrom="column">
            <wp:posOffset>5157470</wp:posOffset>
          </wp:positionH>
          <wp:positionV relativeFrom="paragraph">
            <wp:posOffset>-139065</wp:posOffset>
          </wp:positionV>
          <wp:extent cx="1651000" cy="814705"/>
          <wp:effectExtent l="0" t="0" r="0" b="0"/>
          <wp:wrapSquare wrapText="bothSides"/>
          <wp:docPr id="5" name="Bild 5" descr="Keyvisual_einklinker_rechts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eyvisual_einklinker_rechts_300dp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1000" cy="81470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1706DC">
      <w:rPr>
        <w:rFonts w:ascii="Arial" w:hAnsi="Arial" w:cs="Arial"/>
        <w:i/>
        <w:sz w:val="16"/>
        <w:szCs w:val="16"/>
      </w:rPr>
      <w:t>page</w:t>
    </w:r>
    <w:proofErr w:type="spellEnd"/>
    <w:r w:rsidR="00BC62DE" w:rsidRPr="009A05EE">
      <w:rPr>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PAGE </w:instrText>
    </w:r>
    <w:r w:rsidR="00BC62DE" w:rsidRPr="009A05EE">
      <w:rPr>
        <w:rStyle w:val="Seitenzahl"/>
        <w:rFonts w:ascii="Arial" w:hAnsi="Arial" w:cs="Arial"/>
        <w:i/>
        <w:sz w:val="16"/>
        <w:szCs w:val="16"/>
      </w:rPr>
      <w:fldChar w:fldCharType="separate"/>
    </w:r>
    <w:r w:rsidR="004216C5">
      <w:rPr>
        <w:rStyle w:val="Seitenzahl"/>
        <w:rFonts w:ascii="Arial" w:hAnsi="Arial" w:cs="Arial"/>
        <w:i/>
        <w:noProof/>
        <w:sz w:val="16"/>
        <w:szCs w:val="16"/>
      </w:rPr>
      <w:t>5</w:t>
    </w:r>
    <w:r w:rsidR="00BC62DE" w:rsidRPr="009A05EE">
      <w:rPr>
        <w:rStyle w:val="Seitenzahl"/>
        <w:rFonts w:ascii="Arial" w:hAnsi="Arial" w:cs="Arial"/>
        <w:i/>
        <w:sz w:val="16"/>
        <w:szCs w:val="16"/>
      </w:rPr>
      <w:fldChar w:fldCharType="end"/>
    </w:r>
    <w:r w:rsidR="00BC62DE" w:rsidRPr="009A05EE">
      <w:rPr>
        <w:rStyle w:val="Seitenzahl"/>
        <w:rFonts w:ascii="Arial" w:hAnsi="Arial" w:cs="Arial"/>
        <w:i/>
        <w:sz w:val="16"/>
        <w:szCs w:val="16"/>
      </w:rPr>
      <w:t xml:space="preserve"> </w:t>
    </w:r>
    <w:proofErr w:type="spellStart"/>
    <w:r w:rsidR="00BC62DE" w:rsidRPr="009A05EE">
      <w:rPr>
        <w:rStyle w:val="Seitenzahl"/>
        <w:rFonts w:ascii="Arial" w:hAnsi="Arial" w:cs="Arial"/>
        <w:i/>
        <w:sz w:val="16"/>
        <w:szCs w:val="16"/>
      </w:rPr>
      <w:t>o</w:t>
    </w:r>
    <w:r w:rsidR="001706DC">
      <w:rPr>
        <w:rStyle w:val="Seitenzahl"/>
        <w:rFonts w:ascii="Arial" w:hAnsi="Arial" w:cs="Arial"/>
        <w:i/>
        <w:sz w:val="16"/>
        <w:szCs w:val="16"/>
      </w:rPr>
      <w:t>f</w:t>
    </w:r>
    <w:proofErr w:type="spellEnd"/>
    <w:r w:rsidR="00BC62DE" w:rsidRPr="009A05EE">
      <w:rPr>
        <w:rStyle w:val="Seitenzahl"/>
        <w:rFonts w:ascii="Arial" w:hAnsi="Arial" w:cs="Arial"/>
        <w:i/>
        <w:sz w:val="16"/>
        <w:szCs w:val="16"/>
      </w:rPr>
      <w:t xml:space="preserve"> </w:t>
    </w:r>
    <w:r w:rsidR="00BC62DE" w:rsidRPr="009A05EE">
      <w:rPr>
        <w:rStyle w:val="Seitenzahl"/>
        <w:rFonts w:ascii="Arial" w:hAnsi="Arial" w:cs="Arial"/>
        <w:i/>
        <w:sz w:val="16"/>
        <w:szCs w:val="16"/>
      </w:rPr>
      <w:fldChar w:fldCharType="begin"/>
    </w:r>
    <w:r w:rsidR="00BC62DE" w:rsidRPr="009A05EE">
      <w:rPr>
        <w:rStyle w:val="Seitenzahl"/>
        <w:rFonts w:ascii="Arial" w:hAnsi="Arial" w:cs="Arial"/>
        <w:i/>
        <w:sz w:val="16"/>
        <w:szCs w:val="16"/>
      </w:rPr>
      <w:instrText xml:space="preserve"> NUMPAGES </w:instrText>
    </w:r>
    <w:r w:rsidR="00BC62DE" w:rsidRPr="009A05EE">
      <w:rPr>
        <w:rStyle w:val="Seitenzahl"/>
        <w:rFonts w:ascii="Arial" w:hAnsi="Arial" w:cs="Arial"/>
        <w:i/>
        <w:sz w:val="16"/>
        <w:szCs w:val="16"/>
      </w:rPr>
      <w:fldChar w:fldCharType="separate"/>
    </w:r>
    <w:r w:rsidR="004216C5">
      <w:rPr>
        <w:rStyle w:val="Seitenzahl"/>
        <w:rFonts w:ascii="Arial" w:hAnsi="Arial" w:cs="Arial"/>
        <w:i/>
        <w:noProof/>
        <w:sz w:val="16"/>
        <w:szCs w:val="16"/>
      </w:rPr>
      <w:t>5</w:t>
    </w:r>
    <w:r w:rsidR="00BC62DE" w:rsidRPr="009A05EE">
      <w:rPr>
        <w:rStyle w:val="Seitenzahl"/>
        <w:rFonts w:ascii="Arial" w:hAnsi="Arial" w:cs="Arial"/>
        <w:i/>
        <w:sz w:val="16"/>
        <w:szCs w:val="16"/>
      </w:rPr>
      <w:fldChar w:fldCharType="end"/>
    </w:r>
    <w:r w:rsidR="00BC62DE" w:rsidRPr="009A05EE">
      <w:rPr>
        <w:rFonts w:ascii="Arial" w:hAnsi="Arial" w:cs="Arial"/>
        <w:b/>
        <w:i/>
        <w:color w:val="004089"/>
        <w:sz w:val="12"/>
        <w:szCs w:val="14"/>
      </w:rPr>
      <w:tab/>
    </w:r>
  </w:p>
  <w:p w14:paraId="02AF27DF" w14:textId="77777777" w:rsidR="00BC62DE" w:rsidRPr="009F6805" w:rsidRDefault="00BC62DE" w:rsidP="00132B87">
    <w:pPr>
      <w:pStyle w:val="Fuzeile"/>
      <w:tabs>
        <w:tab w:val="clear" w:pos="4536"/>
        <w:tab w:val="left" w:pos="1418"/>
        <w:tab w:val="left" w:pos="2694"/>
        <w:tab w:val="left" w:pos="3788"/>
        <w:tab w:val="left" w:pos="5842"/>
        <w:tab w:val="left" w:pos="7729"/>
        <w:tab w:val="left" w:pos="7938"/>
      </w:tabs>
      <w:spacing w:before="20"/>
    </w:pPr>
    <w:r w:rsidRPr="00406709">
      <w:tab/>
    </w:r>
    <w:r w:rsidRPr="00406709">
      <w:tab/>
    </w:r>
    <w:r w:rsidRPr="00406709">
      <w:tab/>
    </w:r>
  </w:p>
  <w:p w14:paraId="6677DF95" w14:textId="77777777" w:rsidR="00124429" w:rsidRDefault="0012442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1C3CC1" w14:textId="77777777" w:rsidR="00BC62DE" w:rsidRPr="00190924" w:rsidRDefault="00BC62DE" w:rsidP="007E491E">
    <w:pPr>
      <w:pStyle w:val="Fuzeile"/>
      <w:tabs>
        <w:tab w:val="clear" w:pos="4536"/>
        <w:tab w:val="left" w:pos="2879"/>
        <w:tab w:val="left" w:pos="3788"/>
        <w:tab w:val="left" w:pos="5842"/>
        <w:tab w:val="left" w:pos="7729"/>
      </w:tabs>
      <w:spacing w:before="20"/>
    </w:pPr>
  </w:p>
  <w:p w14:paraId="6A537E65" w14:textId="77777777" w:rsidR="00BC62DE" w:rsidRPr="00190924" w:rsidRDefault="00BC62DE" w:rsidP="008F5F48">
    <w:pPr>
      <w:pStyle w:val="Fuzeile"/>
      <w:tabs>
        <w:tab w:val="left" w:pos="3788"/>
        <w:tab w:val="left" w:pos="7729"/>
      </w:tabs>
      <w:spacing w:before="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E5D6F8" w14:textId="77777777" w:rsidR="00BC62DE" w:rsidRPr="00A44C71" w:rsidRDefault="00BC62DE">
      <w:pPr>
        <w:rPr>
          <w:sz w:val="16"/>
        </w:rPr>
      </w:pPr>
      <w:r>
        <w:separator/>
      </w:r>
    </w:p>
  </w:footnote>
  <w:footnote w:type="continuationSeparator" w:id="0">
    <w:p w14:paraId="6CCBE9DB" w14:textId="77777777" w:rsidR="00BC62DE" w:rsidRPr="00A44C71" w:rsidRDefault="00BC62DE">
      <w:pPr>
        <w:rPr>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363D7" w14:textId="77777777" w:rsidR="00BC62DE" w:rsidRPr="00F17738" w:rsidRDefault="00BC62DE" w:rsidP="006F0BE8">
    <w:pPr>
      <w:pStyle w:val="Kopfzeile"/>
      <w:tabs>
        <w:tab w:val="clear" w:pos="9072"/>
        <w:tab w:val="right" w:pos="9639"/>
      </w:tabs>
      <w:rPr>
        <w:rFonts w:ascii="Verdana" w:hAnsi="Verdana"/>
        <w:sz w:val="20"/>
      </w:rPr>
    </w:pPr>
  </w:p>
  <w:p w14:paraId="1EDA30A9" w14:textId="77777777" w:rsidR="00BC62DE" w:rsidRPr="00F17738" w:rsidRDefault="00BC62DE" w:rsidP="006F0BE8">
    <w:pPr>
      <w:pStyle w:val="Kopfzeile"/>
      <w:tabs>
        <w:tab w:val="clear" w:pos="9072"/>
        <w:tab w:val="right" w:pos="9639"/>
      </w:tabs>
      <w:rPr>
        <w:rFonts w:ascii="Verdana" w:hAnsi="Verdana"/>
        <w:sz w:val="20"/>
      </w:rPr>
    </w:pPr>
  </w:p>
  <w:p w14:paraId="3389791F" w14:textId="77777777" w:rsidR="00BC62DE" w:rsidRPr="00F17738" w:rsidRDefault="00BC62DE" w:rsidP="006F0BE8">
    <w:pPr>
      <w:pStyle w:val="Kopfzeile"/>
      <w:tabs>
        <w:tab w:val="clear" w:pos="9072"/>
        <w:tab w:val="right" w:pos="9639"/>
      </w:tabs>
      <w:rPr>
        <w:rFonts w:ascii="Verdana" w:hAnsi="Verdana"/>
        <w:sz w:val="20"/>
      </w:rPr>
    </w:pPr>
    <w:r>
      <w:rPr>
        <w:noProof/>
        <w:szCs w:val="20"/>
      </w:rPr>
      <w:drawing>
        <wp:anchor distT="0" distB="0" distL="114300" distR="114300" simplePos="0" relativeHeight="251659264" behindDoc="0" locked="1" layoutInCell="1" allowOverlap="0" wp14:anchorId="1323F072" wp14:editId="64CC0F97">
          <wp:simplePos x="0" y="0"/>
          <wp:positionH relativeFrom="page">
            <wp:posOffset>5796915</wp:posOffset>
          </wp:positionH>
          <wp:positionV relativeFrom="page">
            <wp:posOffset>540385</wp:posOffset>
          </wp:positionV>
          <wp:extent cx="1229360" cy="294640"/>
          <wp:effectExtent l="0" t="0" r="8890" b="0"/>
          <wp:wrapNone/>
          <wp:docPr id="3" name="Bild 3"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BF856CE" w14:textId="77777777" w:rsidR="00BC62DE" w:rsidRDefault="00BC62DE" w:rsidP="006F0BE8">
    <w:pPr>
      <w:spacing w:before="60" w:line="360" w:lineRule="auto"/>
      <w:ind w:right="1429"/>
      <w:rPr>
        <w:rFonts w:ascii="Arial" w:hAnsi="Arial" w:cs="Arial"/>
        <w:b/>
        <w:sz w:val="20"/>
        <w:szCs w:val="20"/>
      </w:rPr>
    </w:pPr>
  </w:p>
  <w:p w14:paraId="4126EDAF" w14:textId="3906C796" w:rsidR="00BC62DE" w:rsidRPr="006D36F9" w:rsidRDefault="00BC62DE" w:rsidP="006F0BE8">
    <w:pPr>
      <w:spacing w:line="360" w:lineRule="auto"/>
      <w:ind w:right="1429"/>
      <w:rPr>
        <w:rFonts w:ascii="Arial" w:hAnsi="Arial" w:cs="Arial"/>
        <w:b/>
        <w:sz w:val="20"/>
        <w:szCs w:val="20"/>
      </w:rPr>
    </w:pPr>
    <w:r>
      <w:rPr>
        <w:rFonts w:ascii="Arial" w:hAnsi="Arial" w:cs="Arial"/>
        <w:b/>
        <w:sz w:val="20"/>
        <w:szCs w:val="20"/>
      </w:rPr>
      <w:t>PRESS</w:t>
    </w:r>
    <w:r w:rsidR="001706DC">
      <w:rPr>
        <w:rFonts w:ascii="Arial" w:hAnsi="Arial" w:cs="Arial"/>
        <w:b/>
        <w:sz w:val="20"/>
        <w:szCs w:val="20"/>
      </w:rPr>
      <w:t xml:space="preserve"> RELEASE</w:t>
    </w:r>
  </w:p>
  <w:p w14:paraId="0D792C0B" w14:textId="77777777" w:rsidR="00BC62DE" w:rsidRPr="00F17738" w:rsidRDefault="00BC62DE" w:rsidP="006F0BE8">
    <w:pPr>
      <w:pStyle w:val="Kopfzeile"/>
      <w:tabs>
        <w:tab w:val="clear" w:pos="9072"/>
        <w:tab w:val="right" w:pos="9639"/>
      </w:tabs>
      <w:rPr>
        <w:rFonts w:ascii="Verdana" w:hAnsi="Verdana"/>
        <w:sz w:val="20"/>
      </w:rPr>
    </w:pPr>
  </w:p>
  <w:p w14:paraId="7C9B50D3" w14:textId="77777777" w:rsidR="00BC62DE" w:rsidRPr="00F17738" w:rsidRDefault="00BC62DE" w:rsidP="006F0BE8">
    <w:pPr>
      <w:pStyle w:val="Kopfzeile"/>
      <w:tabs>
        <w:tab w:val="clear" w:pos="9072"/>
        <w:tab w:val="right" w:pos="9639"/>
      </w:tabs>
      <w:rPr>
        <w:rFonts w:ascii="Verdana" w:hAnsi="Verdana"/>
        <w:sz w:val="20"/>
      </w:rPr>
    </w:pPr>
  </w:p>
  <w:p w14:paraId="6D789CA5" w14:textId="77777777" w:rsidR="00BC62DE" w:rsidRPr="00F17738" w:rsidRDefault="00BC62DE" w:rsidP="006F0BE8">
    <w:pPr>
      <w:pStyle w:val="Kopfzeile"/>
      <w:tabs>
        <w:tab w:val="clear" w:pos="9072"/>
        <w:tab w:val="right" w:pos="9639"/>
      </w:tabs>
      <w:rPr>
        <w:rFonts w:ascii="Verdana" w:hAnsi="Verdana"/>
        <w:sz w:val="20"/>
      </w:rPr>
    </w:pPr>
  </w:p>
  <w:p w14:paraId="471E58A8" w14:textId="77777777" w:rsidR="00BC62DE" w:rsidRPr="006F0BE8" w:rsidRDefault="00BC62DE" w:rsidP="006F0BE8">
    <w:pPr>
      <w:pStyle w:val="Kopfzeile"/>
    </w:pPr>
  </w:p>
  <w:p w14:paraId="545EBB06" w14:textId="77777777" w:rsidR="00124429" w:rsidRDefault="001244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683F" w14:textId="77777777" w:rsidR="00BC62DE" w:rsidRPr="00F17738" w:rsidRDefault="00BC62DE" w:rsidP="008F5F48">
    <w:pPr>
      <w:pStyle w:val="Kopfzeile"/>
      <w:ind w:right="12"/>
      <w:rPr>
        <w:rFonts w:ascii="Verdana" w:hAnsi="Verdana"/>
        <w:sz w:val="20"/>
      </w:rPr>
    </w:pPr>
  </w:p>
  <w:p w14:paraId="25DC23AE" w14:textId="77777777" w:rsidR="00BC62DE" w:rsidRPr="00F17738" w:rsidRDefault="00BC62DE" w:rsidP="008F5F48">
    <w:pPr>
      <w:pStyle w:val="Kopfzeile"/>
      <w:ind w:right="12"/>
      <w:rPr>
        <w:rFonts w:ascii="Verdana" w:hAnsi="Verdana"/>
        <w:sz w:val="20"/>
      </w:rPr>
    </w:pPr>
  </w:p>
  <w:p w14:paraId="095195F8" w14:textId="77777777" w:rsidR="00BC62DE" w:rsidRPr="00F17738" w:rsidRDefault="00BC62DE" w:rsidP="008F5F48">
    <w:pPr>
      <w:pStyle w:val="Kopfzeile"/>
      <w:ind w:right="12"/>
      <w:rPr>
        <w:rFonts w:ascii="Verdana" w:hAnsi="Verdana"/>
        <w:sz w:val="20"/>
      </w:rPr>
    </w:pPr>
  </w:p>
  <w:p w14:paraId="19F2F0B6" w14:textId="77777777" w:rsidR="00BC62DE" w:rsidRPr="00F17738" w:rsidRDefault="00BC62DE" w:rsidP="008F5F48">
    <w:pPr>
      <w:pStyle w:val="Kopfzeile"/>
      <w:ind w:right="12"/>
      <w:rPr>
        <w:rFonts w:ascii="Verdana" w:hAnsi="Verdana"/>
        <w:sz w:val="20"/>
      </w:rPr>
    </w:pPr>
  </w:p>
  <w:p w14:paraId="180930A4" w14:textId="77777777" w:rsidR="00BC62DE" w:rsidRPr="00F17738" w:rsidRDefault="00BC62DE" w:rsidP="008F5F48">
    <w:pPr>
      <w:pStyle w:val="Kopfzeile"/>
      <w:ind w:right="12"/>
      <w:rPr>
        <w:rFonts w:ascii="Verdana" w:hAnsi="Verdana"/>
        <w:sz w:val="20"/>
      </w:rPr>
    </w:pPr>
    <w:r>
      <w:rPr>
        <w:noProof/>
        <w:szCs w:val="20"/>
      </w:rPr>
      <w:drawing>
        <wp:anchor distT="0" distB="0" distL="114300" distR="114300" simplePos="0" relativeHeight="251657216" behindDoc="0" locked="0" layoutInCell="1" allowOverlap="0" wp14:anchorId="037F0D51" wp14:editId="3C2EA0C3">
          <wp:simplePos x="0" y="0"/>
          <wp:positionH relativeFrom="margin">
            <wp:posOffset>5008245</wp:posOffset>
          </wp:positionH>
          <wp:positionV relativeFrom="margin">
            <wp:posOffset>-1421765</wp:posOffset>
          </wp:positionV>
          <wp:extent cx="1229360" cy="294640"/>
          <wp:effectExtent l="0" t="0" r="8890" b="0"/>
          <wp:wrapNone/>
          <wp:docPr id="1" name="Bild 1" descr="LEONI Logo farbi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ONI Logo farbi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9360" cy="294640"/>
                  </a:xfrm>
                  <a:prstGeom prst="rect">
                    <a:avLst/>
                  </a:prstGeom>
                  <a:noFill/>
                </pic:spPr>
              </pic:pic>
            </a:graphicData>
          </a:graphic>
          <wp14:sizeRelH relativeFrom="page">
            <wp14:pctWidth>0</wp14:pctWidth>
          </wp14:sizeRelH>
          <wp14:sizeRelV relativeFrom="page">
            <wp14:pctHeight>0</wp14:pctHeight>
          </wp14:sizeRelV>
        </wp:anchor>
      </w:drawing>
    </w:r>
  </w:p>
  <w:p w14:paraId="339BB1BC" w14:textId="77777777" w:rsidR="00BC62DE" w:rsidRPr="00F17738" w:rsidRDefault="00BC62DE" w:rsidP="008F5F48">
    <w:pPr>
      <w:pStyle w:val="Kopfzeile"/>
      <w:ind w:right="12"/>
      <w:rPr>
        <w:rFonts w:ascii="Verdana" w:hAnsi="Verdana"/>
        <w:sz w:val="20"/>
      </w:rPr>
    </w:pPr>
  </w:p>
  <w:p w14:paraId="76FE4EF0" w14:textId="77777777" w:rsidR="00BC62DE" w:rsidRPr="00F17738" w:rsidRDefault="00BC62DE" w:rsidP="008F5F48">
    <w:pPr>
      <w:pStyle w:val="Kopfzeile"/>
      <w:ind w:right="12"/>
      <w:rPr>
        <w:rFonts w:ascii="Verdana" w:hAnsi="Verdana"/>
        <w:sz w:val="20"/>
      </w:rPr>
    </w:pPr>
  </w:p>
  <w:p w14:paraId="15273EA2" w14:textId="77777777" w:rsidR="00BC62DE" w:rsidRPr="00F17738" w:rsidRDefault="00BC62DE" w:rsidP="008F5F48">
    <w:pPr>
      <w:pStyle w:val="Kopfzeile"/>
      <w:ind w:right="12"/>
      <w:rPr>
        <w:rFonts w:ascii="Verdana" w:hAnsi="Verdana"/>
        <w:sz w:val="20"/>
      </w:rPr>
    </w:pPr>
  </w:p>
  <w:p w14:paraId="1D9A80A1" w14:textId="77777777" w:rsidR="00BC62DE" w:rsidRPr="00F17738" w:rsidRDefault="00BC62DE" w:rsidP="008F5F48">
    <w:pPr>
      <w:pStyle w:val="Kopfzeile"/>
      <w:ind w:right="12"/>
      <w:rPr>
        <w:rFonts w:ascii="Verdana" w:hAnsi="Verdana"/>
        <w:sz w:val="20"/>
      </w:rPr>
    </w:pPr>
  </w:p>
  <w:p w14:paraId="4B4567AB" w14:textId="77777777" w:rsidR="00BC62DE" w:rsidRPr="00F17738" w:rsidRDefault="00BC62DE" w:rsidP="008F5F48">
    <w:pPr>
      <w:pStyle w:val="Kopfzeile"/>
      <w:ind w:right="12"/>
      <w:rPr>
        <w:rFonts w:ascii="Verdana" w:hAnsi="Verdana"/>
        <w:sz w:val="20"/>
      </w:rPr>
    </w:pPr>
  </w:p>
  <w:p w14:paraId="40A6FA64" w14:textId="77777777" w:rsidR="00BC62DE" w:rsidRPr="00F17738" w:rsidRDefault="00BC62DE" w:rsidP="008F5F48">
    <w:pPr>
      <w:pStyle w:val="Kopfzeile"/>
      <w:ind w:right="12"/>
      <w:rPr>
        <w:rFonts w:ascii="Verdana" w:hAnsi="Verdana"/>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FF2"/>
    <w:multiLevelType w:val="hybridMultilevel"/>
    <w:tmpl w:val="B78E5B14"/>
    <w:lvl w:ilvl="0" w:tplc="8398F4A0">
      <w:start w:val="1"/>
      <w:numFmt w:val="bullet"/>
      <w:lvlText w:val=""/>
      <w:lvlJc w:val="left"/>
      <w:pPr>
        <w:tabs>
          <w:tab w:val="num" w:pos="720"/>
        </w:tabs>
        <w:ind w:left="720" w:hanging="360"/>
      </w:pPr>
      <w:rPr>
        <w:rFonts w:ascii="Wingdings" w:hAnsi="Wingdings" w:hint="default"/>
      </w:rPr>
    </w:lvl>
    <w:lvl w:ilvl="1" w:tplc="617A0F20">
      <w:start w:val="166"/>
      <w:numFmt w:val="bullet"/>
      <w:lvlText w:val="-"/>
      <w:lvlJc w:val="left"/>
      <w:pPr>
        <w:tabs>
          <w:tab w:val="num" w:pos="1440"/>
        </w:tabs>
        <w:ind w:left="1440" w:hanging="360"/>
      </w:pPr>
      <w:rPr>
        <w:rFonts w:ascii="Times New Roman" w:hAnsi="Times New Roman" w:hint="default"/>
      </w:rPr>
    </w:lvl>
    <w:lvl w:ilvl="2" w:tplc="905A5D22" w:tentative="1">
      <w:start w:val="1"/>
      <w:numFmt w:val="bullet"/>
      <w:lvlText w:val=""/>
      <w:lvlJc w:val="left"/>
      <w:pPr>
        <w:tabs>
          <w:tab w:val="num" w:pos="2160"/>
        </w:tabs>
        <w:ind w:left="2160" w:hanging="360"/>
      </w:pPr>
      <w:rPr>
        <w:rFonts w:ascii="Wingdings" w:hAnsi="Wingdings" w:hint="default"/>
      </w:rPr>
    </w:lvl>
    <w:lvl w:ilvl="3" w:tplc="446C72E4" w:tentative="1">
      <w:start w:val="1"/>
      <w:numFmt w:val="bullet"/>
      <w:lvlText w:val=""/>
      <w:lvlJc w:val="left"/>
      <w:pPr>
        <w:tabs>
          <w:tab w:val="num" w:pos="2880"/>
        </w:tabs>
        <w:ind w:left="2880" w:hanging="360"/>
      </w:pPr>
      <w:rPr>
        <w:rFonts w:ascii="Wingdings" w:hAnsi="Wingdings" w:hint="default"/>
      </w:rPr>
    </w:lvl>
    <w:lvl w:ilvl="4" w:tplc="FC585EC4" w:tentative="1">
      <w:start w:val="1"/>
      <w:numFmt w:val="bullet"/>
      <w:lvlText w:val=""/>
      <w:lvlJc w:val="left"/>
      <w:pPr>
        <w:tabs>
          <w:tab w:val="num" w:pos="3600"/>
        </w:tabs>
        <w:ind w:left="3600" w:hanging="360"/>
      </w:pPr>
      <w:rPr>
        <w:rFonts w:ascii="Wingdings" w:hAnsi="Wingdings" w:hint="default"/>
      </w:rPr>
    </w:lvl>
    <w:lvl w:ilvl="5" w:tplc="FE3833AE" w:tentative="1">
      <w:start w:val="1"/>
      <w:numFmt w:val="bullet"/>
      <w:lvlText w:val=""/>
      <w:lvlJc w:val="left"/>
      <w:pPr>
        <w:tabs>
          <w:tab w:val="num" w:pos="4320"/>
        </w:tabs>
        <w:ind w:left="4320" w:hanging="360"/>
      </w:pPr>
      <w:rPr>
        <w:rFonts w:ascii="Wingdings" w:hAnsi="Wingdings" w:hint="default"/>
      </w:rPr>
    </w:lvl>
    <w:lvl w:ilvl="6" w:tplc="10CCADEE" w:tentative="1">
      <w:start w:val="1"/>
      <w:numFmt w:val="bullet"/>
      <w:lvlText w:val=""/>
      <w:lvlJc w:val="left"/>
      <w:pPr>
        <w:tabs>
          <w:tab w:val="num" w:pos="5040"/>
        </w:tabs>
        <w:ind w:left="5040" w:hanging="360"/>
      </w:pPr>
      <w:rPr>
        <w:rFonts w:ascii="Wingdings" w:hAnsi="Wingdings" w:hint="default"/>
      </w:rPr>
    </w:lvl>
    <w:lvl w:ilvl="7" w:tplc="F3C6A87A" w:tentative="1">
      <w:start w:val="1"/>
      <w:numFmt w:val="bullet"/>
      <w:lvlText w:val=""/>
      <w:lvlJc w:val="left"/>
      <w:pPr>
        <w:tabs>
          <w:tab w:val="num" w:pos="5760"/>
        </w:tabs>
        <w:ind w:left="5760" w:hanging="360"/>
      </w:pPr>
      <w:rPr>
        <w:rFonts w:ascii="Wingdings" w:hAnsi="Wingdings" w:hint="default"/>
      </w:rPr>
    </w:lvl>
    <w:lvl w:ilvl="8" w:tplc="DB2CA3A4" w:tentative="1">
      <w:start w:val="1"/>
      <w:numFmt w:val="bullet"/>
      <w:lvlText w:val=""/>
      <w:lvlJc w:val="left"/>
      <w:pPr>
        <w:tabs>
          <w:tab w:val="num" w:pos="6480"/>
        </w:tabs>
        <w:ind w:left="6480" w:hanging="360"/>
      </w:pPr>
      <w:rPr>
        <w:rFonts w:ascii="Wingdings" w:hAnsi="Wingdings" w:hint="default"/>
      </w:rPr>
    </w:lvl>
  </w:abstractNum>
  <w:abstractNum w:abstractNumId="1">
    <w:nsid w:val="345B3473"/>
    <w:multiLevelType w:val="hybridMultilevel"/>
    <w:tmpl w:val="83B89CE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62425390"/>
    <w:multiLevelType w:val="hybridMultilevel"/>
    <w:tmpl w:val="F4343228"/>
    <w:lvl w:ilvl="0" w:tplc="761EC8C0">
      <w:start w:val="1"/>
      <w:numFmt w:val="bullet"/>
      <w:lvlText w:val=""/>
      <w:lvlJc w:val="left"/>
      <w:pPr>
        <w:tabs>
          <w:tab w:val="num" w:pos="720"/>
        </w:tabs>
        <w:ind w:left="720" w:hanging="360"/>
      </w:pPr>
      <w:rPr>
        <w:rFonts w:ascii="Wingdings" w:hAnsi="Wingdings" w:hint="default"/>
      </w:rPr>
    </w:lvl>
    <w:lvl w:ilvl="1" w:tplc="1BAA8DCE">
      <w:start w:val="166"/>
      <w:numFmt w:val="bullet"/>
      <w:lvlText w:val="-"/>
      <w:lvlJc w:val="left"/>
      <w:pPr>
        <w:tabs>
          <w:tab w:val="num" w:pos="1440"/>
        </w:tabs>
        <w:ind w:left="1440" w:hanging="360"/>
      </w:pPr>
      <w:rPr>
        <w:rFonts w:ascii="Times New Roman" w:hAnsi="Times New Roman" w:hint="default"/>
      </w:rPr>
    </w:lvl>
    <w:lvl w:ilvl="2" w:tplc="80C2F020" w:tentative="1">
      <w:start w:val="1"/>
      <w:numFmt w:val="bullet"/>
      <w:lvlText w:val=""/>
      <w:lvlJc w:val="left"/>
      <w:pPr>
        <w:tabs>
          <w:tab w:val="num" w:pos="2160"/>
        </w:tabs>
        <w:ind w:left="2160" w:hanging="360"/>
      </w:pPr>
      <w:rPr>
        <w:rFonts w:ascii="Wingdings" w:hAnsi="Wingdings" w:hint="default"/>
      </w:rPr>
    </w:lvl>
    <w:lvl w:ilvl="3" w:tplc="87EC0360" w:tentative="1">
      <w:start w:val="1"/>
      <w:numFmt w:val="bullet"/>
      <w:lvlText w:val=""/>
      <w:lvlJc w:val="left"/>
      <w:pPr>
        <w:tabs>
          <w:tab w:val="num" w:pos="2880"/>
        </w:tabs>
        <w:ind w:left="2880" w:hanging="360"/>
      </w:pPr>
      <w:rPr>
        <w:rFonts w:ascii="Wingdings" w:hAnsi="Wingdings" w:hint="default"/>
      </w:rPr>
    </w:lvl>
    <w:lvl w:ilvl="4" w:tplc="BEF0B520" w:tentative="1">
      <w:start w:val="1"/>
      <w:numFmt w:val="bullet"/>
      <w:lvlText w:val=""/>
      <w:lvlJc w:val="left"/>
      <w:pPr>
        <w:tabs>
          <w:tab w:val="num" w:pos="3600"/>
        </w:tabs>
        <w:ind w:left="3600" w:hanging="360"/>
      </w:pPr>
      <w:rPr>
        <w:rFonts w:ascii="Wingdings" w:hAnsi="Wingdings" w:hint="default"/>
      </w:rPr>
    </w:lvl>
    <w:lvl w:ilvl="5" w:tplc="2564B03E" w:tentative="1">
      <w:start w:val="1"/>
      <w:numFmt w:val="bullet"/>
      <w:lvlText w:val=""/>
      <w:lvlJc w:val="left"/>
      <w:pPr>
        <w:tabs>
          <w:tab w:val="num" w:pos="4320"/>
        </w:tabs>
        <w:ind w:left="4320" w:hanging="360"/>
      </w:pPr>
      <w:rPr>
        <w:rFonts w:ascii="Wingdings" w:hAnsi="Wingdings" w:hint="default"/>
      </w:rPr>
    </w:lvl>
    <w:lvl w:ilvl="6" w:tplc="BBC8771E" w:tentative="1">
      <w:start w:val="1"/>
      <w:numFmt w:val="bullet"/>
      <w:lvlText w:val=""/>
      <w:lvlJc w:val="left"/>
      <w:pPr>
        <w:tabs>
          <w:tab w:val="num" w:pos="5040"/>
        </w:tabs>
        <w:ind w:left="5040" w:hanging="360"/>
      </w:pPr>
      <w:rPr>
        <w:rFonts w:ascii="Wingdings" w:hAnsi="Wingdings" w:hint="default"/>
      </w:rPr>
    </w:lvl>
    <w:lvl w:ilvl="7" w:tplc="187CA144" w:tentative="1">
      <w:start w:val="1"/>
      <w:numFmt w:val="bullet"/>
      <w:lvlText w:val=""/>
      <w:lvlJc w:val="left"/>
      <w:pPr>
        <w:tabs>
          <w:tab w:val="num" w:pos="5760"/>
        </w:tabs>
        <w:ind w:left="5760" w:hanging="360"/>
      </w:pPr>
      <w:rPr>
        <w:rFonts w:ascii="Wingdings" w:hAnsi="Wingdings" w:hint="default"/>
      </w:rPr>
    </w:lvl>
    <w:lvl w:ilvl="8" w:tplc="5CD49192"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r. Judith Mayer">
    <w15:presenceInfo w15:providerId="AD" w15:userId="S-1-5-21-1177238915-1770027372-725345543-1649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2"/>
  <w:hyphenationZone w:val="425"/>
  <w:doNotHyphenateCaps/>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759"/>
    <w:rsid w:val="000079E4"/>
    <w:rsid w:val="00013A64"/>
    <w:rsid w:val="00014943"/>
    <w:rsid w:val="00017654"/>
    <w:rsid w:val="0002074B"/>
    <w:rsid w:val="00022E23"/>
    <w:rsid w:val="0002408F"/>
    <w:rsid w:val="00041721"/>
    <w:rsid w:val="000453F9"/>
    <w:rsid w:val="00057659"/>
    <w:rsid w:val="000651EC"/>
    <w:rsid w:val="00072F80"/>
    <w:rsid w:val="00087C38"/>
    <w:rsid w:val="000A0822"/>
    <w:rsid w:val="000A14BC"/>
    <w:rsid w:val="000A32BC"/>
    <w:rsid w:val="000A7B89"/>
    <w:rsid w:val="000B3BF8"/>
    <w:rsid w:val="000B5865"/>
    <w:rsid w:val="000C02B1"/>
    <w:rsid w:val="000C33D0"/>
    <w:rsid w:val="000C3DD5"/>
    <w:rsid w:val="000D3FBB"/>
    <w:rsid w:val="000E0BCB"/>
    <w:rsid w:val="000E6946"/>
    <w:rsid w:val="000F2DC6"/>
    <w:rsid w:val="00102158"/>
    <w:rsid w:val="00110484"/>
    <w:rsid w:val="00110527"/>
    <w:rsid w:val="00112EFB"/>
    <w:rsid w:val="00115FC6"/>
    <w:rsid w:val="00123771"/>
    <w:rsid w:val="00123B76"/>
    <w:rsid w:val="00124429"/>
    <w:rsid w:val="00130F82"/>
    <w:rsid w:val="00132B87"/>
    <w:rsid w:val="00134E77"/>
    <w:rsid w:val="001454B6"/>
    <w:rsid w:val="00152D54"/>
    <w:rsid w:val="00157668"/>
    <w:rsid w:val="00157C54"/>
    <w:rsid w:val="001617CD"/>
    <w:rsid w:val="001706DC"/>
    <w:rsid w:val="00172DBF"/>
    <w:rsid w:val="001734DC"/>
    <w:rsid w:val="00184530"/>
    <w:rsid w:val="0018564D"/>
    <w:rsid w:val="00190924"/>
    <w:rsid w:val="00195338"/>
    <w:rsid w:val="001A26F1"/>
    <w:rsid w:val="001B621B"/>
    <w:rsid w:val="001C0CC3"/>
    <w:rsid w:val="001C7543"/>
    <w:rsid w:val="001D1868"/>
    <w:rsid w:val="001D235D"/>
    <w:rsid w:val="001D2CDB"/>
    <w:rsid w:val="00204990"/>
    <w:rsid w:val="00207FC6"/>
    <w:rsid w:val="00211D05"/>
    <w:rsid w:val="00214804"/>
    <w:rsid w:val="00235F52"/>
    <w:rsid w:val="00240866"/>
    <w:rsid w:val="0024264E"/>
    <w:rsid w:val="00245C9E"/>
    <w:rsid w:val="00251591"/>
    <w:rsid w:val="00260A78"/>
    <w:rsid w:val="002630D8"/>
    <w:rsid w:val="00264325"/>
    <w:rsid w:val="0027050A"/>
    <w:rsid w:val="00271877"/>
    <w:rsid w:val="00283A4E"/>
    <w:rsid w:val="002929B6"/>
    <w:rsid w:val="002956A9"/>
    <w:rsid w:val="0029603C"/>
    <w:rsid w:val="002B325C"/>
    <w:rsid w:val="002B59D6"/>
    <w:rsid w:val="002B7AC7"/>
    <w:rsid w:val="002B7BFA"/>
    <w:rsid w:val="002C118D"/>
    <w:rsid w:val="00304A7E"/>
    <w:rsid w:val="003118F1"/>
    <w:rsid w:val="00314F40"/>
    <w:rsid w:val="00320044"/>
    <w:rsid w:val="0032479E"/>
    <w:rsid w:val="00325F19"/>
    <w:rsid w:val="00336F7B"/>
    <w:rsid w:val="00352E66"/>
    <w:rsid w:val="00361728"/>
    <w:rsid w:val="00361CF2"/>
    <w:rsid w:val="00362050"/>
    <w:rsid w:val="00364DCD"/>
    <w:rsid w:val="00382198"/>
    <w:rsid w:val="00397AC4"/>
    <w:rsid w:val="003C6AAE"/>
    <w:rsid w:val="003D2799"/>
    <w:rsid w:val="003D3AA0"/>
    <w:rsid w:val="003E43B4"/>
    <w:rsid w:val="003E4B96"/>
    <w:rsid w:val="003F5FDE"/>
    <w:rsid w:val="003F74D0"/>
    <w:rsid w:val="00404468"/>
    <w:rsid w:val="0040720B"/>
    <w:rsid w:val="004216C5"/>
    <w:rsid w:val="00432245"/>
    <w:rsid w:val="00441012"/>
    <w:rsid w:val="00441963"/>
    <w:rsid w:val="0045071B"/>
    <w:rsid w:val="004547BF"/>
    <w:rsid w:val="004579E1"/>
    <w:rsid w:val="00466073"/>
    <w:rsid w:val="0047104C"/>
    <w:rsid w:val="00473340"/>
    <w:rsid w:val="00473E7D"/>
    <w:rsid w:val="00480076"/>
    <w:rsid w:val="004826F0"/>
    <w:rsid w:val="004A1653"/>
    <w:rsid w:val="004A457B"/>
    <w:rsid w:val="004B0623"/>
    <w:rsid w:val="004B3DB8"/>
    <w:rsid w:val="004B4CC2"/>
    <w:rsid w:val="004B78AC"/>
    <w:rsid w:val="004D2FCB"/>
    <w:rsid w:val="004E29FC"/>
    <w:rsid w:val="004E5849"/>
    <w:rsid w:val="004F038C"/>
    <w:rsid w:val="004F2266"/>
    <w:rsid w:val="004F7079"/>
    <w:rsid w:val="00500004"/>
    <w:rsid w:val="00500B29"/>
    <w:rsid w:val="005072AE"/>
    <w:rsid w:val="00513932"/>
    <w:rsid w:val="00526F46"/>
    <w:rsid w:val="00532C20"/>
    <w:rsid w:val="00533F65"/>
    <w:rsid w:val="005418D3"/>
    <w:rsid w:val="00543C34"/>
    <w:rsid w:val="005448AB"/>
    <w:rsid w:val="00547D6D"/>
    <w:rsid w:val="00566E86"/>
    <w:rsid w:val="0057107B"/>
    <w:rsid w:val="005811BB"/>
    <w:rsid w:val="00586387"/>
    <w:rsid w:val="005B4DC3"/>
    <w:rsid w:val="005C5351"/>
    <w:rsid w:val="005D4C87"/>
    <w:rsid w:val="005D550E"/>
    <w:rsid w:val="005E0BBB"/>
    <w:rsid w:val="005E2FE7"/>
    <w:rsid w:val="005F46FD"/>
    <w:rsid w:val="005F490F"/>
    <w:rsid w:val="005F561A"/>
    <w:rsid w:val="00600E53"/>
    <w:rsid w:val="00611654"/>
    <w:rsid w:val="00614A49"/>
    <w:rsid w:val="0061798D"/>
    <w:rsid w:val="0062285E"/>
    <w:rsid w:val="00624CA9"/>
    <w:rsid w:val="00627DDF"/>
    <w:rsid w:val="00631FB1"/>
    <w:rsid w:val="006332BA"/>
    <w:rsid w:val="00633487"/>
    <w:rsid w:val="006457CF"/>
    <w:rsid w:val="00653018"/>
    <w:rsid w:val="00654989"/>
    <w:rsid w:val="006611CF"/>
    <w:rsid w:val="00665661"/>
    <w:rsid w:val="006678E0"/>
    <w:rsid w:val="00683EF3"/>
    <w:rsid w:val="006A76CA"/>
    <w:rsid w:val="006C5546"/>
    <w:rsid w:val="006C5D8F"/>
    <w:rsid w:val="006C6A78"/>
    <w:rsid w:val="006D36F9"/>
    <w:rsid w:val="006E0029"/>
    <w:rsid w:val="006E5E89"/>
    <w:rsid w:val="006E5F12"/>
    <w:rsid w:val="006F0BE8"/>
    <w:rsid w:val="006F435B"/>
    <w:rsid w:val="006F4393"/>
    <w:rsid w:val="006F78FE"/>
    <w:rsid w:val="007107D8"/>
    <w:rsid w:val="00711906"/>
    <w:rsid w:val="00720539"/>
    <w:rsid w:val="00721853"/>
    <w:rsid w:val="00733298"/>
    <w:rsid w:val="007420F8"/>
    <w:rsid w:val="00746469"/>
    <w:rsid w:val="00765E37"/>
    <w:rsid w:val="00770C61"/>
    <w:rsid w:val="00772C01"/>
    <w:rsid w:val="007747B6"/>
    <w:rsid w:val="0078200F"/>
    <w:rsid w:val="00783A5E"/>
    <w:rsid w:val="007864F1"/>
    <w:rsid w:val="00795463"/>
    <w:rsid w:val="007C3759"/>
    <w:rsid w:val="007D7D60"/>
    <w:rsid w:val="007E491E"/>
    <w:rsid w:val="007E7AA7"/>
    <w:rsid w:val="007F3212"/>
    <w:rsid w:val="007F73CF"/>
    <w:rsid w:val="008045E1"/>
    <w:rsid w:val="00821BA4"/>
    <w:rsid w:val="00834D0C"/>
    <w:rsid w:val="0083522C"/>
    <w:rsid w:val="008446CD"/>
    <w:rsid w:val="00852108"/>
    <w:rsid w:val="0086070A"/>
    <w:rsid w:val="00877C02"/>
    <w:rsid w:val="00883645"/>
    <w:rsid w:val="008920B0"/>
    <w:rsid w:val="008A3381"/>
    <w:rsid w:val="008B1883"/>
    <w:rsid w:val="008B4F95"/>
    <w:rsid w:val="008D26BA"/>
    <w:rsid w:val="008D6717"/>
    <w:rsid w:val="008D7DDA"/>
    <w:rsid w:val="008E7760"/>
    <w:rsid w:val="008F5F48"/>
    <w:rsid w:val="008F76B8"/>
    <w:rsid w:val="0090176A"/>
    <w:rsid w:val="00906898"/>
    <w:rsid w:val="00924034"/>
    <w:rsid w:val="00936962"/>
    <w:rsid w:val="00950ED8"/>
    <w:rsid w:val="009613DC"/>
    <w:rsid w:val="00961415"/>
    <w:rsid w:val="00967E91"/>
    <w:rsid w:val="009714B0"/>
    <w:rsid w:val="00977A5F"/>
    <w:rsid w:val="00977A87"/>
    <w:rsid w:val="009A05EE"/>
    <w:rsid w:val="009A1070"/>
    <w:rsid w:val="009A464A"/>
    <w:rsid w:val="009A49DB"/>
    <w:rsid w:val="009B48FF"/>
    <w:rsid w:val="009B564D"/>
    <w:rsid w:val="009B6801"/>
    <w:rsid w:val="009C6B13"/>
    <w:rsid w:val="009D7F99"/>
    <w:rsid w:val="009F30DA"/>
    <w:rsid w:val="009F6805"/>
    <w:rsid w:val="009F752B"/>
    <w:rsid w:val="009F7686"/>
    <w:rsid w:val="00A03787"/>
    <w:rsid w:val="00A12538"/>
    <w:rsid w:val="00A145F4"/>
    <w:rsid w:val="00A20DB3"/>
    <w:rsid w:val="00A23623"/>
    <w:rsid w:val="00A23768"/>
    <w:rsid w:val="00A24DAD"/>
    <w:rsid w:val="00A27173"/>
    <w:rsid w:val="00A34AA7"/>
    <w:rsid w:val="00A424B7"/>
    <w:rsid w:val="00A42852"/>
    <w:rsid w:val="00A51056"/>
    <w:rsid w:val="00A5162F"/>
    <w:rsid w:val="00A52F7C"/>
    <w:rsid w:val="00A54DDA"/>
    <w:rsid w:val="00A57FA1"/>
    <w:rsid w:val="00A66992"/>
    <w:rsid w:val="00A708D7"/>
    <w:rsid w:val="00A751B9"/>
    <w:rsid w:val="00A76415"/>
    <w:rsid w:val="00AA09F4"/>
    <w:rsid w:val="00AA2A8D"/>
    <w:rsid w:val="00AA4649"/>
    <w:rsid w:val="00AC2AE0"/>
    <w:rsid w:val="00AC7A23"/>
    <w:rsid w:val="00AD3E26"/>
    <w:rsid w:val="00AE0F06"/>
    <w:rsid w:val="00AE43B7"/>
    <w:rsid w:val="00AF0A61"/>
    <w:rsid w:val="00AF0CA5"/>
    <w:rsid w:val="00AF3E2D"/>
    <w:rsid w:val="00B1340F"/>
    <w:rsid w:val="00B139E4"/>
    <w:rsid w:val="00B3540F"/>
    <w:rsid w:val="00B45E40"/>
    <w:rsid w:val="00B466F2"/>
    <w:rsid w:val="00B67561"/>
    <w:rsid w:val="00B70B1A"/>
    <w:rsid w:val="00B71C6F"/>
    <w:rsid w:val="00B96DE2"/>
    <w:rsid w:val="00BA0052"/>
    <w:rsid w:val="00BB1A73"/>
    <w:rsid w:val="00BB69B8"/>
    <w:rsid w:val="00BC0EBE"/>
    <w:rsid w:val="00BC4F23"/>
    <w:rsid w:val="00BC5FE7"/>
    <w:rsid w:val="00BC62DE"/>
    <w:rsid w:val="00BD22AC"/>
    <w:rsid w:val="00BD2643"/>
    <w:rsid w:val="00BD4058"/>
    <w:rsid w:val="00BF5681"/>
    <w:rsid w:val="00BF7DEC"/>
    <w:rsid w:val="00C007DE"/>
    <w:rsid w:val="00C03D20"/>
    <w:rsid w:val="00C053BC"/>
    <w:rsid w:val="00C07382"/>
    <w:rsid w:val="00C108BC"/>
    <w:rsid w:val="00C11645"/>
    <w:rsid w:val="00C12774"/>
    <w:rsid w:val="00C1516A"/>
    <w:rsid w:val="00C178EC"/>
    <w:rsid w:val="00C31E96"/>
    <w:rsid w:val="00C435D0"/>
    <w:rsid w:val="00C4636C"/>
    <w:rsid w:val="00C56EEB"/>
    <w:rsid w:val="00C60B33"/>
    <w:rsid w:val="00C663CB"/>
    <w:rsid w:val="00C6770A"/>
    <w:rsid w:val="00C70F49"/>
    <w:rsid w:val="00C7427E"/>
    <w:rsid w:val="00C83F49"/>
    <w:rsid w:val="00C900A9"/>
    <w:rsid w:val="00C96EBA"/>
    <w:rsid w:val="00CA481B"/>
    <w:rsid w:val="00CA4B57"/>
    <w:rsid w:val="00CB644E"/>
    <w:rsid w:val="00CC32B4"/>
    <w:rsid w:val="00CD332B"/>
    <w:rsid w:val="00D04407"/>
    <w:rsid w:val="00D1225B"/>
    <w:rsid w:val="00D15735"/>
    <w:rsid w:val="00D22ED7"/>
    <w:rsid w:val="00D407C8"/>
    <w:rsid w:val="00D413F1"/>
    <w:rsid w:val="00D42BFB"/>
    <w:rsid w:val="00D431E4"/>
    <w:rsid w:val="00D47FA5"/>
    <w:rsid w:val="00D60030"/>
    <w:rsid w:val="00D61CCE"/>
    <w:rsid w:val="00D65513"/>
    <w:rsid w:val="00D700B9"/>
    <w:rsid w:val="00D72FCB"/>
    <w:rsid w:val="00D738A7"/>
    <w:rsid w:val="00D74838"/>
    <w:rsid w:val="00D80DBE"/>
    <w:rsid w:val="00D90D76"/>
    <w:rsid w:val="00DA49A1"/>
    <w:rsid w:val="00DB1EEC"/>
    <w:rsid w:val="00DB2E93"/>
    <w:rsid w:val="00DD5149"/>
    <w:rsid w:val="00DD67C1"/>
    <w:rsid w:val="00DD7C9C"/>
    <w:rsid w:val="00DF6351"/>
    <w:rsid w:val="00E01673"/>
    <w:rsid w:val="00E01A4E"/>
    <w:rsid w:val="00E02B7A"/>
    <w:rsid w:val="00E2445B"/>
    <w:rsid w:val="00E33130"/>
    <w:rsid w:val="00E358C1"/>
    <w:rsid w:val="00E45475"/>
    <w:rsid w:val="00E460C8"/>
    <w:rsid w:val="00E569A0"/>
    <w:rsid w:val="00E56CF0"/>
    <w:rsid w:val="00E76BA0"/>
    <w:rsid w:val="00E82B97"/>
    <w:rsid w:val="00E93051"/>
    <w:rsid w:val="00E93D8A"/>
    <w:rsid w:val="00E96673"/>
    <w:rsid w:val="00EA772C"/>
    <w:rsid w:val="00EC043E"/>
    <w:rsid w:val="00EC0A0C"/>
    <w:rsid w:val="00EC0E74"/>
    <w:rsid w:val="00EC6520"/>
    <w:rsid w:val="00ED1040"/>
    <w:rsid w:val="00ED288B"/>
    <w:rsid w:val="00ED47BD"/>
    <w:rsid w:val="00EE209D"/>
    <w:rsid w:val="00EE3329"/>
    <w:rsid w:val="00EE4972"/>
    <w:rsid w:val="00EF591E"/>
    <w:rsid w:val="00F026D8"/>
    <w:rsid w:val="00F129BE"/>
    <w:rsid w:val="00F21EA0"/>
    <w:rsid w:val="00F247D5"/>
    <w:rsid w:val="00F27323"/>
    <w:rsid w:val="00F37865"/>
    <w:rsid w:val="00F4749E"/>
    <w:rsid w:val="00F53056"/>
    <w:rsid w:val="00F55602"/>
    <w:rsid w:val="00F57432"/>
    <w:rsid w:val="00F67138"/>
    <w:rsid w:val="00F71821"/>
    <w:rsid w:val="00F737A1"/>
    <w:rsid w:val="00F73C92"/>
    <w:rsid w:val="00F77BB5"/>
    <w:rsid w:val="00F80249"/>
    <w:rsid w:val="00F84D48"/>
    <w:rsid w:val="00F90257"/>
    <w:rsid w:val="00F91F06"/>
    <w:rsid w:val="00F91FB0"/>
    <w:rsid w:val="00F92DC3"/>
    <w:rsid w:val="00F94F62"/>
    <w:rsid w:val="00F955C9"/>
    <w:rsid w:val="00FB10D4"/>
    <w:rsid w:val="00FC2BA4"/>
    <w:rsid w:val="00FE0AC5"/>
    <w:rsid w:val="00FE68FC"/>
    <w:rsid w:val="00FF2690"/>
    <w:rsid w:val="00FF303C"/>
    <w:rsid w:val="00FF517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oNotEmbedSmartTags/>
  <w:decimalSymbol w:val=","/>
  <w:listSeparator w:val=";"/>
  <w14:docId w14:val="449DD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uiPriority w:val="99"/>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706DC"/>
    <w:pPr>
      <w:tabs>
        <w:tab w:val="left" w:pos="1134"/>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1706DC"/>
    <w:rPr>
      <w:rFonts w:ascii="Arial" w:hAnsi="Arial" w:cs="Arial"/>
      <w:color w:val="000000"/>
    </w:rPr>
  </w:style>
  <w:style w:type="paragraph" w:styleId="Listenabsatz">
    <w:name w:val="List Paragraph"/>
    <w:basedOn w:val="Standard"/>
    <w:uiPriority w:val="99"/>
    <w:qFormat/>
    <w:rsid w:val="006678E0"/>
    <w:pPr>
      <w:ind w:left="720"/>
      <w:contextualSpacing/>
    </w:pPr>
  </w:style>
  <w:style w:type="character" w:customStyle="1" w:styleId="KopfzeileZchn">
    <w:name w:val="Kopfzeile Zchn"/>
    <w:basedOn w:val="Absatz-Standardschriftart"/>
    <w:link w:val="Kopfzeile"/>
    <w:rsid w:val="001706DC"/>
    <w:rPr>
      <w:sz w:val="24"/>
      <w:szCs w:val="24"/>
    </w:rPr>
  </w:style>
  <w:style w:type="character" w:customStyle="1" w:styleId="FuzeileZchn">
    <w:name w:val="Fußzeile Zchn"/>
    <w:basedOn w:val="Absatz-Standardschriftart"/>
    <w:link w:val="Fuzeile"/>
    <w:semiHidden/>
    <w:rsid w:val="001706D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40841"/>
    <w:rPr>
      <w:sz w:val="24"/>
      <w:szCs w:val="24"/>
    </w:rPr>
  </w:style>
  <w:style w:type="paragraph" w:styleId="berschrift1">
    <w:name w:val="heading 1"/>
    <w:aliases w:val="F1: Hauptüberschrift"/>
    <w:basedOn w:val="Standard"/>
    <w:next w:val="Standard"/>
    <w:link w:val="berschrift1Zchn"/>
    <w:rsid w:val="009A1070"/>
    <w:pPr>
      <w:spacing w:line="360" w:lineRule="auto"/>
      <w:ind w:right="1427"/>
      <w:outlineLvl w:val="0"/>
    </w:pPr>
    <w:rPr>
      <w:rFonts w:ascii="Verdana" w:hAnsi="Verdana"/>
      <w:b/>
      <w:color w:val="112E6B"/>
      <w:sz w:val="22"/>
      <w:szCs w:val="22"/>
    </w:rPr>
  </w:style>
  <w:style w:type="paragraph" w:styleId="berschrift2">
    <w:name w:val="heading 2"/>
    <w:basedOn w:val="berschrift1"/>
    <w:next w:val="Standard"/>
    <w:link w:val="berschrift2Zchn1"/>
    <w:qFormat/>
    <w:rsid w:val="009A1070"/>
    <w:pPr>
      <w:outlineLvl w:val="1"/>
    </w:pPr>
    <w:rPr>
      <w:b w:val="0"/>
      <w:color w:val="auto"/>
      <w:sz w:val="20"/>
      <w:szCs w:val="20"/>
    </w:rPr>
  </w:style>
  <w:style w:type="paragraph" w:styleId="berschrift3">
    <w:name w:val="heading 3"/>
    <w:basedOn w:val="Standard"/>
    <w:next w:val="Standard"/>
    <w:link w:val="berschrift3Zchn"/>
    <w:qFormat/>
    <w:rsid w:val="009A1070"/>
    <w:pPr>
      <w:spacing w:line="360" w:lineRule="auto"/>
      <w:ind w:right="1427"/>
      <w:outlineLvl w:val="2"/>
    </w:pPr>
    <w:rPr>
      <w:rFonts w:ascii="Verdana" w:hAnsi="Verdana"/>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8C6B84"/>
    <w:pPr>
      <w:tabs>
        <w:tab w:val="center" w:pos="4536"/>
        <w:tab w:val="right" w:pos="9072"/>
      </w:tabs>
    </w:pPr>
  </w:style>
  <w:style w:type="paragraph" w:styleId="Fuzeile">
    <w:name w:val="footer"/>
    <w:basedOn w:val="Standard"/>
    <w:link w:val="FuzeileZchn"/>
    <w:semiHidden/>
    <w:rsid w:val="008C6B84"/>
    <w:pPr>
      <w:tabs>
        <w:tab w:val="center" w:pos="4536"/>
        <w:tab w:val="right" w:pos="9072"/>
      </w:tabs>
    </w:pPr>
  </w:style>
  <w:style w:type="character" w:styleId="Hyperlink">
    <w:name w:val="Hyperlink"/>
    <w:rsid w:val="00617134"/>
    <w:rPr>
      <w:color w:val="0000FF"/>
      <w:u w:val="single"/>
    </w:rPr>
  </w:style>
  <w:style w:type="character" w:styleId="Seitenzahl">
    <w:name w:val="page number"/>
    <w:basedOn w:val="Absatz-Standardschriftart"/>
    <w:rsid w:val="00F17738"/>
  </w:style>
  <w:style w:type="paragraph" w:styleId="Textkrper">
    <w:name w:val="Body Text"/>
    <w:basedOn w:val="Standard"/>
    <w:rsid w:val="0032263E"/>
    <w:pPr>
      <w:spacing w:after="240" w:line="300" w:lineRule="atLeast"/>
      <w:ind w:right="1985"/>
    </w:pPr>
    <w:rPr>
      <w:rFonts w:ascii="Myriad Regular" w:hAnsi="Myriad Regular"/>
      <w:sz w:val="22"/>
      <w:szCs w:val="20"/>
    </w:rPr>
  </w:style>
  <w:style w:type="paragraph" w:customStyle="1" w:styleId="copy">
    <w:name w:val="copy"/>
    <w:basedOn w:val="Standard"/>
    <w:rsid w:val="003B2E0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line="283" w:lineRule="atLeast"/>
      <w:textAlignment w:val="baseline"/>
    </w:pPr>
    <w:rPr>
      <w:rFonts w:ascii="Myriad Condensed" w:eastAsia="SimSun" w:hAnsi="Myriad Condensed"/>
      <w:color w:val="000000"/>
      <w:spacing w:val="1"/>
      <w:sz w:val="19"/>
      <w:szCs w:val="20"/>
      <w:lang w:eastAsia="zh-CN"/>
    </w:rPr>
  </w:style>
  <w:style w:type="paragraph" w:styleId="Sprechblasentext">
    <w:name w:val="Balloon Text"/>
    <w:basedOn w:val="Standard"/>
    <w:semiHidden/>
    <w:rsid w:val="00342E9C"/>
    <w:rPr>
      <w:rFonts w:ascii="Lucida Grande" w:hAnsi="Lucida Grande"/>
      <w:sz w:val="18"/>
      <w:szCs w:val="18"/>
    </w:rPr>
  </w:style>
  <w:style w:type="paragraph" w:styleId="StandardWeb">
    <w:name w:val="Normal (Web)"/>
    <w:basedOn w:val="Standard"/>
    <w:uiPriority w:val="99"/>
    <w:rsid w:val="001B37F7"/>
    <w:pPr>
      <w:spacing w:before="100" w:beforeAutospacing="1" w:after="100" w:afterAutospacing="1"/>
    </w:pPr>
  </w:style>
  <w:style w:type="character" w:styleId="Kommentarzeichen">
    <w:name w:val="annotation reference"/>
    <w:semiHidden/>
    <w:rsid w:val="00DF0DAA"/>
    <w:rPr>
      <w:sz w:val="16"/>
      <w:szCs w:val="16"/>
    </w:rPr>
  </w:style>
  <w:style w:type="paragraph" w:styleId="Kommentartext">
    <w:name w:val="annotation text"/>
    <w:basedOn w:val="Standard"/>
    <w:semiHidden/>
    <w:rsid w:val="00DF0DAA"/>
    <w:rPr>
      <w:sz w:val="20"/>
      <w:szCs w:val="20"/>
    </w:rPr>
  </w:style>
  <w:style w:type="paragraph" w:styleId="Kommentarthema">
    <w:name w:val="annotation subject"/>
    <w:basedOn w:val="Kommentartext"/>
    <w:next w:val="Kommentartext"/>
    <w:semiHidden/>
    <w:rsid w:val="00DF0DAA"/>
    <w:rPr>
      <w:b/>
      <w:bCs/>
    </w:rPr>
  </w:style>
  <w:style w:type="table" w:styleId="Tabellenraster">
    <w:name w:val="Table Grid"/>
    <w:basedOn w:val="NormaleTabelle"/>
    <w:rsid w:val="00BF56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aliases w:val="F1: Hauptüberschrift Zchn"/>
    <w:link w:val="berschrift1"/>
    <w:rsid w:val="009A1070"/>
    <w:rPr>
      <w:rFonts w:ascii="Verdana" w:hAnsi="Verdana"/>
      <w:b/>
      <w:color w:val="112E6B"/>
      <w:sz w:val="22"/>
      <w:szCs w:val="22"/>
      <w:lang w:val="de-DE" w:eastAsia="de-DE" w:bidi="ar-SA"/>
    </w:rPr>
  </w:style>
  <w:style w:type="paragraph" w:customStyle="1" w:styleId="F1Hauptberschrift1">
    <w:name w:val="F1: Hauptüberschrift1"/>
    <w:basedOn w:val="berschrift1"/>
    <w:link w:val="F1Hauptberschrift1Zchn"/>
    <w:rsid w:val="009A1070"/>
  </w:style>
  <w:style w:type="paragraph" w:customStyle="1" w:styleId="F2Unterberschrift">
    <w:name w:val="F2: Unterüberschrift"/>
    <w:basedOn w:val="Standard"/>
    <w:link w:val="F2UnterberschriftZchn"/>
    <w:rsid w:val="009A1070"/>
    <w:rPr>
      <w:b/>
      <w:sz w:val="20"/>
      <w:szCs w:val="20"/>
    </w:rPr>
  </w:style>
  <w:style w:type="character" w:customStyle="1" w:styleId="F2UnterberschriftZchn">
    <w:name w:val="F2: Unterüberschrift Zchn"/>
    <w:basedOn w:val="berschrift1Zchn"/>
    <w:link w:val="F2Unterberschrift"/>
    <w:rsid w:val="009A1070"/>
    <w:rPr>
      <w:rFonts w:ascii="Verdana" w:hAnsi="Verdana"/>
      <w:b/>
      <w:color w:val="112E6B"/>
      <w:sz w:val="22"/>
      <w:szCs w:val="22"/>
      <w:lang w:val="de-DE" w:eastAsia="de-DE" w:bidi="ar-SA"/>
    </w:rPr>
  </w:style>
  <w:style w:type="character" w:customStyle="1" w:styleId="F1Hauptberschrift1Zchn">
    <w:name w:val="F1: Hauptüberschrift1 Zchn"/>
    <w:basedOn w:val="berschrift1Zchn"/>
    <w:link w:val="F1Hauptberschrift1"/>
    <w:rsid w:val="009A1070"/>
    <w:rPr>
      <w:rFonts w:ascii="Verdana" w:hAnsi="Verdana"/>
      <w:b/>
      <w:color w:val="112E6B"/>
      <w:sz w:val="22"/>
      <w:szCs w:val="22"/>
      <w:lang w:val="de-DE" w:eastAsia="de-DE" w:bidi="ar-SA"/>
    </w:rPr>
  </w:style>
  <w:style w:type="character" w:customStyle="1" w:styleId="berschrift2Zchn1">
    <w:name w:val="Überschrift 2 Zchn1"/>
    <w:basedOn w:val="berschrift1Zchn"/>
    <w:link w:val="berschrift2"/>
    <w:rsid w:val="009A1070"/>
    <w:rPr>
      <w:rFonts w:ascii="Verdana" w:hAnsi="Verdana"/>
      <w:b/>
      <w:color w:val="112E6B"/>
      <w:sz w:val="22"/>
      <w:szCs w:val="22"/>
      <w:lang w:val="de-DE" w:eastAsia="de-DE" w:bidi="ar-SA"/>
    </w:rPr>
  </w:style>
  <w:style w:type="paragraph" w:customStyle="1" w:styleId="Formatvorlageberschrift3Rechts252cmNach6pt">
    <w:name w:val="Formatvorlage Überschrift 3 + Rechts:  252 cm Nach:  6 pt"/>
    <w:basedOn w:val="berschrift3"/>
    <w:link w:val="Formatvorlageberschrift3Rechts252cmNach6ptZchn"/>
    <w:rsid w:val="004547BF"/>
    <w:pPr>
      <w:spacing w:after="120"/>
      <w:ind w:right="1429"/>
    </w:pPr>
    <w:rPr>
      <w:bCs/>
    </w:rPr>
  </w:style>
  <w:style w:type="paragraph" w:customStyle="1" w:styleId="Flietext">
    <w:name w:val="Fließtext"/>
    <w:basedOn w:val="Standard"/>
    <w:link w:val="FlietextZchn"/>
    <w:rsid w:val="006F4393"/>
    <w:pPr>
      <w:spacing w:after="120" w:line="360" w:lineRule="auto"/>
      <w:ind w:right="1429"/>
    </w:pPr>
    <w:rPr>
      <w:rFonts w:ascii="Verdana" w:hAnsi="Verdana"/>
      <w:sz w:val="20"/>
      <w:szCs w:val="20"/>
    </w:rPr>
  </w:style>
  <w:style w:type="paragraph" w:customStyle="1" w:styleId="Zwischenberschrift">
    <w:name w:val="Zwischenüberschrift"/>
    <w:basedOn w:val="Standard"/>
    <w:link w:val="ZwischenberschriftZchn"/>
    <w:rsid w:val="006F4393"/>
    <w:pPr>
      <w:spacing w:after="120" w:line="360" w:lineRule="auto"/>
      <w:ind w:right="1429"/>
    </w:pPr>
    <w:rPr>
      <w:rFonts w:ascii="Verdana" w:hAnsi="Verdana"/>
      <w:b/>
      <w:sz w:val="20"/>
      <w:szCs w:val="20"/>
    </w:rPr>
  </w:style>
  <w:style w:type="character" w:customStyle="1" w:styleId="ZwischenberschriftZchn">
    <w:name w:val="Zwischenüberschrift Zchn"/>
    <w:link w:val="Zwischenberschrift"/>
    <w:rsid w:val="006F4393"/>
    <w:rPr>
      <w:rFonts w:ascii="Verdana" w:hAnsi="Verdana"/>
      <w:b/>
      <w:lang w:val="de-DE" w:eastAsia="de-DE" w:bidi="ar-SA"/>
    </w:rPr>
  </w:style>
  <w:style w:type="character" w:styleId="BesuchterHyperlink">
    <w:name w:val="FollowedHyperlink"/>
    <w:rsid w:val="00361CF2"/>
    <w:rPr>
      <w:color w:val="800080"/>
      <w:u w:val="single"/>
    </w:rPr>
  </w:style>
  <w:style w:type="paragraph" w:customStyle="1" w:styleId="MMU1">
    <w:name w:val="MM U1"/>
    <w:basedOn w:val="berschrift1"/>
    <w:link w:val="MMU1Zchn"/>
    <w:autoRedefine/>
    <w:uiPriority w:val="99"/>
    <w:qFormat/>
    <w:rsid w:val="006D36F9"/>
    <w:pPr>
      <w:ind w:right="1922"/>
    </w:pPr>
    <w:rPr>
      <w:rFonts w:ascii="Arial" w:hAnsi="Arial"/>
      <w:bCs/>
      <w:sz w:val="24"/>
      <w:szCs w:val="20"/>
    </w:rPr>
  </w:style>
  <w:style w:type="paragraph" w:customStyle="1" w:styleId="U2">
    <w:name w:val="U2"/>
    <w:basedOn w:val="berschrift1"/>
    <w:rsid w:val="006D36F9"/>
    <w:pPr>
      <w:ind w:right="1922"/>
    </w:pPr>
    <w:rPr>
      <w:rFonts w:ascii="Arial" w:hAnsi="Arial" w:cs="Arial"/>
      <w:b w:val="0"/>
      <w:color w:val="auto"/>
      <w:sz w:val="24"/>
      <w:szCs w:val="24"/>
    </w:rPr>
  </w:style>
  <w:style w:type="paragraph" w:customStyle="1" w:styleId="MMVorspann">
    <w:name w:val="MM Vorspann"/>
    <w:basedOn w:val="Formatvorlageberschrift3Rechts252cmNach6pt"/>
    <w:link w:val="MMVorspannZchn"/>
    <w:autoRedefine/>
    <w:uiPriority w:val="99"/>
    <w:qFormat/>
    <w:rsid w:val="006F0BE8"/>
    <w:pPr>
      <w:ind w:right="1922"/>
      <w:jc w:val="both"/>
    </w:pPr>
    <w:rPr>
      <w:rFonts w:ascii="Arial" w:hAnsi="Arial" w:cs="Arial"/>
      <w:sz w:val="22"/>
      <w:szCs w:val="22"/>
    </w:rPr>
  </w:style>
  <w:style w:type="paragraph" w:customStyle="1" w:styleId="MMU2">
    <w:name w:val="MM U2"/>
    <w:basedOn w:val="berschrift1"/>
    <w:next w:val="MMVorspann"/>
    <w:link w:val="MMU2Zchn"/>
    <w:autoRedefine/>
    <w:uiPriority w:val="99"/>
    <w:qFormat/>
    <w:rsid w:val="006F0BE8"/>
    <w:pPr>
      <w:spacing w:after="360"/>
      <w:ind w:right="1922"/>
    </w:pPr>
    <w:rPr>
      <w:rFonts w:ascii="Arial" w:hAnsi="Arial" w:cs="Arial"/>
      <w:b w:val="0"/>
      <w:color w:val="auto"/>
      <w:sz w:val="24"/>
      <w:szCs w:val="24"/>
    </w:rPr>
  </w:style>
  <w:style w:type="paragraph" w:customStyle="1" w:styleId="MMFlietext">
    <w:name w:val="MM Fließtext"/>
    <w:basedOn w:val="Flietext"/>
    <w:link w:val="MMFlietextZchn"/>
    <w:autoRedefine/>
    <w:uiPriority w:val="99"/>
    <w:qFormat/>
    <w:rsid w:val="00877C02"/>
    <w:pPr>
      <w:ind w:right="1922"/>
      <w:jc w:val="both"/>
    </w:pPr>
    <w:rPr>
      <w:rFonts w:ascii="Arial" w:hAnsi="Arial" w:cs="Arial"/>
      <w:sz w:val="22"/>
      <w:szCs w:val="22"/>
    </w:rPr>
  </w:style>
  <w:style w:type="paragraph" w:customStyle="1" w:styleId="MMKurzprofil">
    <w:name w:val="MM Kurzprofil"/>
    <w:basedOn w:val="Standard"/>
    <w:link w:val="MMKurzprofilZchn"/>
    <w:autoRedefine/>
    <w:qFormat/>
    <w:rsid w:val="001706DC"/>
    <w:pPr>
      <w:tabs>
        <w:tab w:val="left" w:pos="1134"/>
        <w:tab w:val="left" w:pos="8505"/>
      </w:tabs>
      <w:ind w:right="1922"/>
    </w:pPr>
    <w:rPr>
      <w:rFonts w:ascii="Arial" w:hAnsi="Arial" w:cs="Arial"/>
      <w:color w:val="000000"/>
      <w:sz w:val="20"/>
      <w:szCs w:val="20"/>
    </w:rPr>
  </w:style>
  <w:style w:type="paragraph" w:customStyle="1" w:styleId="MMKurzprofilberschrift">
    <w:name w:val="MM Kurzprofil Überschrift"/>
    <w:basedOn w:val="Standard"/>
    <w:link w:val="MMKurzprofilberschriftZchn"/>
    <w:autoRedefine/>
    <w:qFormat/>
    <w:rsid w:val="006D36F9"/>
    <w:pPr>
      <w:spacing w:before="480" w:line="360" w:lineRule="auto"/>
      <w:ind w:right="1922"/>
    </w:pPr>
    <w:rPr>
      <w:rFonts w:ascii="Arial" w:hAnsi="Arial" w:cs="Arial"/>
      <w:b/>
      <w:color w:val="112E6B"/>
      <w:sz w:val="20"/>
      <w:szCs w:val="20"/>
    </w:rPr>
  </w:style>
  <w:style w:type="paragraph" w:customStyle="1" w:styleId="MMZwischenberschrift">
    <w:name w:val="MM Zwischenüberschrift"/>
    <w:basedOn w:val="Standard"/>
    <w:link w:val="MMZwischenberschriftZchn"/>
    <w:autoRedefine/>
    <w:uiPriority w:val="99"/>
    <w:qFormat/>
    <w:rsid w:val="00AF0CA5"/>
    <w:pPr>
      <w:tabs>
        <w:tab w:val="left" w:pos="8505"/>
      </w:tabs>
      <w:spacing w:line="360" w:lineRule="auto"/>
      <w:ind w:right="1922"/>
      <w:jc w:val="both"/>
    </w:pPr>
    <w:rPr>
      <w:rFonts w:ascii="Arial" w:hAnsi="Arial" w:cs="Arial"/>
      <w:b/>
      <w:sz w:val="22"/>
      <w:szCs w:val="22"/>
    </w:rPr>
  </w:style>
  <w:style w:type="character" w:customStyle="1" w:styleId="berschrift2Zchn">
    <w:name w:val="Überschrift 2 Zchn"/>
    <w:basedOn w:val="berschrift1Zchn"/>
    <w:rsid w:val="008B1883"/>
    <w:rPr>
      <w:rFonts w:ascii="Verdana" w:hAnsi="Verdana"/>
      <w:b/>
      <w:color w:val="112E6B"/>
      <w:sz w:val="22"/>
      <w:szCs w:val="22"/>
      <w:lang w:val="de-DE" w:eastAsia="de-DE" w:bidi="ar-SA"/>
    </w:rPr>
  </w:style>
  <w:style w:type="character" w:customStyle="1" w:styleId="MMU1Zchn">
    <w:name w:val="MM U1 Zchn"/>
    <w:basedOn w:val="berschrift1Zchn"/>
    <w:link w:val="MMU1"/>
    <w:rsid w:val="00D47FA5"/>
    <w:rPr>
      <w:rFonts w:ascii="Arial" w:hAnsi="Arial"/>
      <w:b/>
      <w:bCs/>
      <w:color w:val="112E6B"/>
      <w:sz w:val="24"/>
      <w:szCs w:val="22"/>
      <w:lang w:val="de-DE" w:eastAsia="de-DE" w:bidi="ar-SA"/>
    </w:rPr>
  </w:style>
  <w:style w:type="character" w:customStyle="1" w:styleId="MMU2Zchn">
    <w:name w:val="MM U2 Zchn"/>
    <w:basedOn w:val="berschrift1Zchn"/>
    <w:link w:val="MMU2"/>
    <w:rsid w:val="006F0BE8"/>
    <w:rPr>
      <w:rFonts w:ascii="Arial" w:hAnsi="Arial" w:cs="Arial"/>
      <w:b w:val="0"/>
      <w:color w:val="112E6B"/>
      <w:sz w:val="24"/>
      <w:szCs w:val="24"/>
      <w:lang w:val="de-DE" w:eastAsia="de-DE" w:bidi="ar-SA"/>
    </w:rPr>
  </w:style>
  <w:style w:type="character" w:customStyle="1" w:styleId="berschrift3Zchn">
    <w:name w:val="Überschrift 3 Zchn"/>
    <w:basedOn w:val="Absatz-Standardschriftart"/>
    <w:link w:val="berschrift3"/>
    <w:rsid w:val="00D47FA5"/>
    <w:rPr>
      <w:rFonts w:ascii="Verdana" w:hAnsi="Verdana"/>
      <w:b/>
    </w:rPr>
  </w:style>
  <w:style w:type="character" w:customStyle="1" w:styleId="Formatvorlageberschrift3Rechts252cmNach6ptZchn">
    <w:name w:val="Formatvorlage Überschrift 3 + Rechts:  252 cm Nach:  6 pt Zchn"/>
    <w:basedOn w:val="berschrift3Zchn"/>
    <w:link w:val="Formatvorlageberschrift3Rechts252cmNach6pt"/>
    <w:rsid w:val="00D47FA5"/>
    <w:rPr>
      <w:rFonts w:ascii="Verdana" w:hAnsi="Verdana"/>
      <w:b/>
      <w:bCs/>
    </w:rPr>
  </w:style>
  <w:style w:type="character" w:customStyle="1" w:styleId="MMVorspannZchn">
    <w:name w:val="MM Vorspann Zchn"/>
    <w:basedOn w:val="Formatvorlageberschrift3Rechts252cmNach6ptZchn"/>
    <w:link w:val="MMVorspann"/>
    <w:rsid w:val="006F0BE8"/>
    <w:rPr>
      <w:rFonts w:ascii="Arial" w:hAnsi="Arial" w:cs="Arial"/>
      <w:b/>
      <w:bCs/>
      <w:sz w:val="22"/>
      <w:szCs w:val="22"/>
    </w:rPr>
  </w:style>
  <w:style w:type="character" w:customStyle="1" w:styleId="FlietextZchn">
    <w:name w:val="Fließtext Zchn"/>
    <w:basedOn w:val="Absatz-Standardschriftart"/>
    <w:link w:val="Flietext"/>
    <w:rsid w:val="00D47FA5"/>
    <w:rPr>
      <w:rFonts w:ascii="Verdana" w:hAnsi="Verdana"/>
    </w:rPr>
  </w:style>
  <w:style w:type="character" w:customStyle="1" w:styleId="MMFlietextZchn">
    <w:name w:val="MM Fließtext Zchn"/>
    <w:basedOn w:val="FlietextZchn"/>
    <w:link w:val="MMFlietext"/>
    <w:rsid w:val="00877C02"/>
    <w:rPr>
      <w:rFonts w:ascii="Arial" w:hAnsi="Arial" w:cs="Arial"/>
      <w:sz w:val="22"/>
      <w:szCs w:val="22"/>
    </w:rPr>
  </w:style>
  <w:style w:type="character" w:customStyle="1" w:styleId="MMZwischenberschriftZchn">
    <w:name w:val="MM Zwischenüberschrift Zchn"/>
    <w:basedOn w:val="Absatz-Standardschriftart"/>
    <w:link w:val="MMZwischenberschrift"/>
    <w:rsid w:val="00AF0CA5"/>
    <w:rPr>
      <w:rFonts w:ascii="Arial" w:hAnsi="Arial" w:cs="Arial"/>
      <w:b/>
      <w:sz w:val="22"/>
      <w:szCs w:val="22"/>
    </w:rPr>
  </w:style>
  <w:style w:type="character" w:customStyle="1" w:styleId="MMKurzprofilberschriftZchn">
    <w:name w:val="MM Kurzprofil Überschrift Zchn"/>
    <w:basedOn w:val="Absatz-Standardschriftart"/>
    <w:link w:val="MMKurzprofilberschrift"/>
    <w:rsid w:val="00D47FA5"/>
    <w:rPr>
      <w:rFonts w:ascii="Arial" w:hAnsi="Arial" w:cs="Arial"/>
      <w:b/>
      <w:color w:val="112E6B"/>
    </w:rPr>
  </w:style>
  <w:style w:type="character" w:customStyle="1" w:styleId="MMKurzprofilZchn">
    <w:name w:val="MM Kurzprofil Zchn"/>
    <w:basedOn w:val="Absatz-Standardschriftart"/>
    <w:link w:val="MMKurzprofil"/>
    <w:rsid w:val="001706DC"/>
    <w:rPr>
      <w:rFonts w:ascii="Arial" w:hAnsi="Arial" w:cs="Arial"/>
      <w:color w:val="000000"/>
    </w:rPr>
  </w:style>
  <w:style w:type="paragraph" w:styleId="Listenabsatz">
    <w:name w:val="List Paragraph"/>
    <w:basedOn w:val="Standard"/>
    <w:uiPriority w:val="99"/>
    <w:qFormat/>
    <w:rsid w:val="006678E0"/>
    <w:pPr>
      <w:ind w:left="720"/>
      <w:contextualSpacing/>
    </w:pPr>
  </w:style>
  <w:style w:type="character" w:customStyle="1" w:styleId="KopfzeileZchn">
    <w:name w:val="Kopfzeile Zchn"/>
    <w:basedOn w:val="Absatz-Standardschriftart"/>
    <w:link w:val="Kopfzeile"/>
    <w:rsid w:val="001706DC"/>
    <w:rPr>
      <w:sz w:val="24"/>
      <w:szCs w:val="24"/>
    </w:rPr>
  </w:style>
  <w:style w:type="character" w:customStyle="1" w:styleId="FuzeileZchn">
    <w:name w:val="Fußzeile Zchn"/>
    <w:basedOn w:val="Absatz-Standardschriftart"/>
    <w:link w:val="Fuzeile"/>
    <w:semiHidden/>
    <w:rsid w:val="001706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3047811">
      <w:bodyDiv w:val="1"/>
      <w:marLeft w:val="0"/>
      <w:marRight w:val="0"/>
      <w:marTop w:val="0"/>
      <w:marBottom w:val="0"/>
      <w:divBdr>
        <w:top w:val="none" w:sz="0" w:space="0" w:color="auto"/>
        <w:left w:val="none" w:sz="0" w:space="0" w:color="auto"/>
        <w:bottom w:val="none" w:sz="0" w:space="0" w:color="auto"/>
        <w:right w:val="none" w:sz="0" w:space="0" w:color="auto"/>
      </w:divBdr>
      <w:divsChild>
        <w:div w:id="1444493416">
          <w:marLeft w:val="288"/>
          <w:marRight w:val="0"/>
          <w:marTop w:val="216"/>
          <w:marBottom w:val="0"/>
          <w:divBdr>
            <w:top w:val="none" w:sz="0" w:space="0" w:color="auto"/>
            <w:left w:val="none" w:sz="0" w:space="0" w:color="auto"/>
            <w:bottom w:val="none" w:sz="0" w:space="0" w:color="auto"/>
            <w:right w:val="none" w:sz="0" w:space="0" w:color="auto"/>
          </w:divBdr>
        </w:div>
      </w:divsChild>
    </w:div>
    <w:div w:id="344982947">
      <w:bodyDiv w:val="1"/>
      <w:marLeft w:val="0"/>
      <w:marRight w:val="0"/>
      <w:marTop w:val="0"/>
      <w:marBottom w:val="0"/>
      <w:divBdr>
        <w:top w:val="none" w:sz="0" w:space="0" w:color="auto"/>
        <w:left w:val="none" w:sz="0" w:space="0" w:color="auto"/>
        <w:bottom w:val="none" w:sz="0" w:space="0" w:color="auto"/>
        <w:right w:val="none" w:sz="0" w:space="0" w:color="auto"/>
      </w:divBdr>
      <w:divsChild>
        <w:div w:id="26376127">
          <w:marLeft w:val="288"/>
          <w:marRight w:val="0"/>
          <w:marTop w:val="216"/>
          <w:marBottom w:val="0"/>
          <w:divBdr>
            <w:top w:val="none" w:sz="0" w:space="0" w:color="auto"/>
            <w:left w:val="none" w:sz="0" w:space="0" w:color="auto"/>
            <w:bottom w:val="none" w:sz="0" w:space="0" w:color="auto"/>
            <w:right w:val="none" w:sz="0" w:space="0" w:color="auto"/>
          </w:divBdr>
        </w:div>
      </w:divsChild>
    </w:div>
    <w:div w:id="488863536">
      <w:bodyDiv w:val="1"/>
      <w:marLeft w:val="0"/>
      <w:marRight w:val="0"/>
      <w:marTop w:val="0"/>
      <w:marBottom w:val="0"/>
      <w:divBdr>
        <w:top w:val="none" w:sz="0" w:space="0" w:color="auto"/>
        <w:left w:val="none" w:sz="0" w:space="0" w:color="auto"/>
        <w:bottom w:val="none" w:sz="0" w:space="0" w:color="auto"/>
        <w:right w:val="none" w:sz="0" w:space="0" w:color="auto"/>
      </w:divBdr>
      <w:divsChild>
        <w:div w:id="305477303">
          <w:marLeft w:val="0"/>
          <w:marRight w:val="0"/>
          <w:marTop w:val="0"/>
          <w:marBottom w:val="0"/>
          <w:divBdr>
            <w:top w:val="none" w:sz="0" w:space="0" w:color="auto"/>
            <w:left w:val="none" w:sz="0" w:space="0" w:color="auto"/>
            <w:bottom w:val="none" w:sz="0" w:space="0" w:color="auto"/>
            <w:right w:val="none" w:sz="0" w:space="0" w:color="auto"/>
          </w:divBdr>
          <w:divsChild>
            <w:div w:id="603225212">
              <w:marLeft w:val="0"/>
              <w:marRight w:val="0"/>
              <w:marTop w:val="0"/>
              <w:marBottom w:val="0"/>
              <w:divBdr>
                <w:top w:val="none" w:sz="0" w:space="0" w:color="auto"/>
                <w:left w:val="none" w:sz="0" w:space="0" w:color="auto"/>
                <w:bottom w:val="none" w:sz="0" w:space="0" w:color="auto"/>
                <w:right w:val="none" w:sz="0" w:space="0" w:color="auto"/>
              </w:divBdr>
            </w:div>
            <w:div w:id="613942827">
              <w:marLeft w:val="0"/>
              <w:marRight w:val="0"/>
              <w:marTop w:val="0"/>
              <w:marBottom w:val="0"/>
              <w:divBdr>
                <w:top w:val="none" w:sz="0" w:space="0" w:color="auto"/>
                <w:left w:val="none" w:sz="0" w:space="0" w:color="auto"/>
                <w:bottom w:val="none" w:sz="0" w:space="0" w:color="auto"/>
                <w:right w:val="none" w:sz="0" w:space="0" w:color="auto"/>
              </w:divBdr>
            </w:div>
            <w:div w:id="879243368">
              <w:marLeft w:val="0"/>
              <w:marRight w:val="0"/>
              <w:marTop w:val="0"/>
              <w:marBottom w:val="0"/>
              <w:divBdr>
                <w:top w:val="none" w:sz="0" w:space="0" w:color="auto"/>
                <w:left w:val="none" w:sz="0" w:space="0" w:color="auto"/>
                <w:bottom w:val="none" w:sz="0" w:space="0" w:color="auto"/>
                <w:right w:val="none" w:sz="0" w:space="0" w:color="auto"/>
              </w:divBdr>
            </w:div>
            <w:div w:id="1364138416">
              <w:marLeft w:val="0"/>
              <w:marRight w:val="0"/>
              <w:marTop w:val="0"/>
              <w:marBottom w:val="0"/>
              <w:divBdr>
                <w:top w:val="none" w:sz="0" w:space="0" w:color="auto"/>
                <w:left w:val="none" w:sz="0" w:space="0" w:color="auto"/>
                <w:bottom w:val="none" w:sz="0" w:space="0" w:color="auto"/>
                <w:right w:val="none" w:sz="0" w:space="0" w:color="auto"/>
              </w:divBdr>
            </w:div>
            <w:div w:id="1450390161">
              <w:marLeft w:val="0"/>
              <w:marRight w:val="0"/>
              <w:marTop w:val="0"/>
              <w:marBottom w:val="0"/>
              <w:divBdr>
                <w:top w:val="none" w:sz="0" w:space="0" w:color="auto"/>
                <w:left w:val="none" w:sz="0" w:space="0" w:color="auto"/>
                <w:bottom w:val="none" w:sz="0" w:space="0" w:color="auto"/>
                <w:right w:val="none" w:sz="0" w:space="0" w:color="auto"/>
              </w:divBdr>
            </w:div>
            <w:div w:id="2029670843">
              <w:marLeft w:val="0"/>
              <w:marRight w:val="0"/>
              <w:marTop w:val="0"/>
              <w:marBottom w:val="0"/>
              <w:divBdr>
                <w:top w:val="none" w:sz="0" w:space="0" w:color="auto"/>
                <w:left w:val="none" w:sz="0" w:space="0" w:color="auto"/>
                <w:bottom w:val="none" w:sz="0" w:space="0" w:color="auto"/>
                <w:right w:val="none" w:sz="0" w:space="0" w:color="auto"/>
              </w:divBdr>
            </w:div>
            <w:div w:id="213051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363148">
      <w:bodyDiv w:val="1"/>
      <w:marLeft w:val="0"/>
      <w:marRight w:val="0"/>
      <w:marTop w:val="0"/>
      <w:marBottom w:val="0"/>
      <w:divBdr>
        <w:top w:val="none" w:sz="0" w:space="0" w:color="auto"/>
        <w:left w:val="none" w:sz="0" w:space="0" w:color="auto"/>
        <w:bottom w:val="none" w:sz="0" w:space="0" w:color="auto"/>
        <w:right w:val="none" w:sz="0" w:space="0" w:color="auto"/>
      </w:divBdr>
      <w:divsChild>
        <w:div w:id="1717923335">
          <w:marLeft w:val="0"/>
          <w:marRight w:val="0"/>
          <w:marTop w:val="0"/>
          <w:marBottom w:val="0"/>
          <w:divBdr>
            <w:top w:val="none" w:sz="0" w:space="0" w:color="auto"/>
            <w:left w:val="none" w:sz="0" w:space="0" w:color="auto"/>
            <w:bottom w:val="none" w:sz="0" w:space="0" w:color="auto"/>
            <w:right w:val="none" w:sz="0" w:space="0" w:color="auto"/>
          </w:divBdr>
          <w:divsChild>
            <w:div w:id="164323791">
              <w:marLeft w:val="0"/>
              <w:marRight w:val="0"/>
              <w:marTop w:val="0"/>
              <w:marBottom w:val="0"/>
              <w:divBdr>
                <w:top w:val="none" w:sz="0" w:space="0" w:color="auto"/>
                <w:left w:val="none" w:sz="0" w:space="0" w:color="auto"/>
                <w:bottom w:val="none" w:sz="0" w:space="0" w:color="auto"/>
                <w:right w:val="none" w:sz="0" w:space="0" w:color="auto"/>
              </w:divBdr>
            </w:div>
            <w:div w:id="1042899932">
              <w:marLeft w:val="0"/>
              <w:marRight w:val="0"/>
              <w:marTop w:val="0"/>
              <w:marBottom w:val="0"/>
              <w:divBdr>
                <w:top w:val="none" w:sz="0" w:space="0" w:color="auto"/>
                <w:left w:val="none" w:sz="0" w:space="0" w:color="auto"/>
                <w:bottom w:val="none" w:sz="0" w:space="0" w:color="auto"/>
                <w:right w:val="none" w:sz="0" w:space="0" w:color="auto"/>
              </w:divBdr>
            </w:div>
            <w:div w:id="1415323222">
              <w:marLeft w:val="0"/>
              <w:marRight w:val="0"/>
              <w:marTop w:val="0"/>
              <w:marBottom w:val="0"/>
              <w:divBdr>
                <w:top w:val="none" w:sz="0" w:space="0" w:color="auto"/>
                <w:left w:val="none" w:sz="0" w:space="0" w:color="auto"/>
                <w:bottom w:val="none" w:sz="0" w:space="0" w:color="auto"/>
                <w:right w:val="none" w:sz="0" w:space="0" w:color="auto"/>
              </w:divBdr>
            </w:div>
            <w:div w:id="213721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118432">
      <w:bodyDiv w:val="1"/>
      <w:marLeft w:val="0"/>
      <w:marRight w:val="0"/>
      <w:marTop w:val="0"/>
      <w:marBottom w:val="0"/>
      <w:divBdr>
        <w:top w:val="none" w:sz="0" w:space="0" w:color="auto"/>
        <w:left w:val="none" w:sz="0" w:space="0" w:color="auto"/>
        <w:bottom w:val="none" w:sz="0" w:space="0" w:color="auto"/>
        <w:right w:val="none" w:sz="0" w:space="0" w:color="auto"/>
      </w:divBdr>
    </w:div>
    <w:div w:id="1271670769">
      <w:bodyDiv w:val="1"/>
      <w:marLeft w:val="0"/>
      <w:marRight w:val="0"/>
      <w:marTop w:val="0"/>
      <w:marBottom w:val="0"/>
      <w:divBdr>
        <w:top w:val="none" w:sz="0" w:space="0" w:color="auto"/>
        <w:left w:val="none" w:sz="0" w:space="0" w:color="auto"/>
        <w:bottom w:val="none" w:sz="0" w:space="0" w:color="auto"/>
        <w:right w:val="none" w:sz="0" w:space="0" w:color="auto"/>
      </w:divBdr>
    </w:div>
    <w:div w:id="1418869952">
      <w:bodyDiv w:val="1"/>
      <w:marLeft w:val="0"/>
      <w:marRight w:val="0"/>
      <w:marTop w:val="0"/>
      <w:marBottom w:val="0"/>
      <w:divBdr>
        <w:top w:val="none" w:sz="0" w:space="0" w:color="auto"/>
        <w:left w:val="none" w:sz="0" w:space="0" w:color="auto"/>
        <w:bottom w:val="none" w:sz="0" w:space="0" w:color="auto"/>
        <w:right w:val="none" w:sz="0" w:space="0" w:color="auto"/>
      </w:divBdr>
      <w:divsChild>
        <w:div w:id="905189510">
          <w:marLeft w:val="0"/>
          <w:marRight w:val="0"/>
          <w:marTop w:val="0"/>
          <w:marBottom w:val="0"/>
          <w:divBdr>
            <w:top w:val="none" w:sz="0" w:space="0" w:color="auto"/>
            <w:left w:val="none" w:sz="0" w:space="0" w:color="auto"/>
            <w:bottom w:val="none" w:sz="0" w:space="0" w:color="auto"/>
            <w:right w:val="none" w:sz="0" w:space="0" w:color="auto"/>
          </w:divBdr>
          <w:divsChild>
            <w:div w:id="426924069">
              <w:marLeft w:val="0"/>
              <w:marRight w:val="0"/>
              <w:marTop w:val="30"/>
              <w:marBottom w:val="255"/>
              <w:divBdr>
                <w:top w:val="none" w:sz="0" w:space="0" w:color="auto"/>
                <w:left w:val="none" w:sz="0" w:space="0" w:color="auto"/>
                <w:bottom w:val="none" w:sz="0" w:space="0" w:color="auto"/>
                <w:right w:val="none" w:sz="0" w:space="0" w:color="auto"/>
              </w:divBdr>
            </w:div>
          </w:divsChild>
        </w:div>
      </w:divsChild>
    </w:div>
    <w:div w:id="1604681356">
      <w:bodyDiv w:val="1"/>
      <w:marLeft w:val="0"/>
      <w:marRight w:val="0"/>
      <w:marTop w:val="0"/>
      <w:marBottom w:val="0"/>
      <w:divBdr>
        <w:top w:val="none" w:sz="0" w:space="0" w:color="auto"/>
        <w:left w:val="none" w:sz="0" w:space="0" w:color="auto"/>
        <w:bottom w:val="none" w:sz="0" w:space="0" w:color="auto"/>
        <w:right w:val="none" w:sz="0" w:space="0" w:color="auto"/>
      </w:divBdr>
      <w:divsChild>
        <w:div w:id="257367965">
          <w:marLeft w:val="0"/>
          <w:marRight w:val="0"/>
          <w:marTop w:val="0"/>
          <w:marBottom w:val="0"/>
          <w:divBdr>
            <w:top w:val="none" w:sz="0" w:space="0" w:color="auto"/>
            <w:left w:val="none" w:sz="0" w:space="0" w:color="auto"/>
            <w:bottom w:val="none" w:sz="0" w:space="0" w:color="auto"/>
            <w:right w:val="none" w:sz="0" w:space="0" w:color="auto"/>
          </w:divBdr>
          <w:divsChild>
            <w:div w:id="339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xing.com/companies/leonia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theleonigroup" TargetMode="External"/><Relationship Id="rId5" Type="http://schemas.openxmlformats.org/officeDocument/2006/relationships/settings" Target="settings.xml"/><Relationship Id="rId15" Type="http://schemas.openxmlformats.org/officeDocument/2006/relationships/hyperlink" Target="mailto:presse@leoni.com" TargetMode="External"/><Relationship Id="rId23" Type="http://schemas.microsoft.com/office/2011/relationships/commentsExtended" Target="commentsExtended.xml"/><Relationship Id="rId10" Type="http://schemas.openxmlformats.org/officeDocument/2006/relationships/hyperlink" Target="http://www.leoni.com/en/financial-publications/"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leoni.com/en/press/releases/details/leoni-sees-favourable-trend-for-future-business-performance/" TargetMode="External"/><Relationship Id="rId14" Type="http://schemas.openxmlformats.org/officeDocument/2006/relationships/image" Target="media/image2.png"/><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2F6F2D-7E61-42EE-AFDE-AD38E363B1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1518</Words>
  <Characters>8650</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Pressemitteilung</vt:lpstr>
    </vt:vector>
  </TitlesOfParts>
  <Manager>Sven Schmidt</Manager>
  <Company>LEONI</Company>
  <LinksUpToDate>false</LinksUpToDate>
  <CharactersWithSpaces>10148</CharactersWithSpaces>
  <SharedDoc>false</SharedDoc>
  <HLinks>
    <vt:vector size="24" baseType="variant">
      <vt:variant>
        <vt:i4>917543</vt:i4>
      </vt:variant>
      <vt:variant>
        <vt:i4>15</vt:i4>
      </vt:variant>
      <vt:variant>
        <vt:i4>0</vt:i4>
      </vt:variant>
      <vt:variant>
        <vt:i4>5</vt:i4>
      </vt:variant>
      <vt:variant>
        <vt:lpwstr>mailto:presse@leoni.com</vt:lpwstr>
      </vt:variant>
      <vt:variant>
        <vt:lpwstr/>
      </vt:variant>
      <vt:variant>
        <vt:i4>3145833</vt:i4>
      </vt:variant>
      <vt:variant>
        <vt:i4>9</vt:i4>
      </vt:variant>
      <vt:variant>
        <vt:i4>0</vt:i4>
      </vt:variant>
      <vt:variant>
        <vt:i4>5</vt:i4>
      </vt:variant>
      <vt:variant>
        <vt:lpwstr>https://www.xing.com/companies/leoniag</vt:lpwstr>
      </vt:variant>
      <vt:variant>
        <vt:lpwstr/>
      </vt:variant>
      <vt:variant>
        <vt:i4>8257634</vt:i4>
      </vt:variant>
      <vt:variant>
        <vt:i4>3</vt:i4>
      </vt:variant>
      <vt:variant>
        <vt:i4>0</vt:i4>
      </vt:variant>
      <vt:variant>
        <vt:i4>5</vt:i4>
      </vt:variant>
      <vt:variant>
        <vt:lpwstr>http://www.facebook.com/pages/LEONI-Group-official-profile/193146627391754</vt:lpwstr>
      </vt:variant>
      <vt:variant>
        <vt:lpwstr/>
      </vt:variant>
      <vt:variant>
        <vt:i4>2555960</vt:i4>
      </vt:variant>
      <vt:variant>
        <vt:i4>0</vt:i4>
      </vt:variant>
      <vt:variant>
        <vt:i4>0</vt:i4>
      </vt:variant>
      <vt:variant>
        <vt:i4>5</vt:i4>
      </vt:variant>
      <vt:variant>
        <vt:lpwstr>http://www.media.leoni.com/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Corporate Communications</dc:creator>
  <cp:lastModifiedBy>Schmidt, Sven</cp:lastModifiedBy>
  <cp:revision>7</cp:revision>
  <cp:lastPrinted>2017-03-21T15:48:00Z</cp:lastPrinted>
  <dcterms:created xsi:type="dcterms:W3CDTF">2017-03-21T15:05:00Z</dcterms:created>
  <dcterms:modified xsi:type="dcterms:W3CDTF">2017-03-21T15:48:00Z</dcterms:modified>
</cp:coreProperties>
</file>