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42FA" w14:textId="77777777" w:rsidR="00054C81" w:rsidRPr="00054C81" w:rsidRDefault="00054C81" w:rsidP="00054C81">
      <w:pPr>
        <w:pStyle w:val="MMU1"/>
        <w:rPr>
          <w:lang w:val="en-GB"/>
        </w:rPr>
      </w:pPr>
      <w:bookmarkStart w:id="0" w:name="_GoBack"/>
      <w:bookmarkEnd w:id="0"/>
      <w:r w:rsidRPr="00054C81">
        <w:rPr>
          <w:lang w:val="en-GB"/>
        </w:rPr>
        <w:t>Following on from a successful 2017: Leoni sets course for sustained, profitable growth</w:t>
      </w:r>
    </w:p>
    <w:p w14:paraId="1F541982" w14:textId="77777777" w:rsidR="00054C81" w:rsidRDefault="00054C81" w:rsidP="00054C81">
      <w:pPr>
        <w:pStyle w:val="MMU2"/>
        <w:numPr>
          <w:ilvl w:val="0"/>
          <w:numId w:val="5"/>
        </w:numPr>
        <w:spacing w:after="0"/>
      </w:pPr>
      <w:r>
        <w:t>10 percent organic growth in 2017</w:t>
      </w:r>
    </w:p>
    <w:p w14:paraId="78635BE7" w14:textId="77777777" w:rsidR="00054C81" w:rsidRDefault="00054C81" w:rsidP="00054C81">
      <w:pPr>
        <w:pStyle w:val="MMU2"/>
        <w:numPr>
          <w:ilvl w:val="0"/>
          <w:numId w:val="5"/>
        </w:numPr>
        <w:spacing w:after="0"/>
      </w:pPr>
      <w:r>
        <w:t>Order receipts at record level</w:t>
      </w:r>
    </w:p>
    <w:p w14:paraId="16C9984B" w14:textId="77777777" w:rsidR="00054C81" w:rsidRDefault="00054C81" w:rsidP="00054C81">
      <w:pPr>
        <w:pStyle w:val="MMU2"/>
        <w:numPr>
          <w:ilvl w:val="0"/>
          <w:numId w:val="5"/>
        </w:numPr>
        <w:spacing w:after="0"/>
      </w:pPr>
      <w:r>
        <w:t>Group strategy renewed</w:t>
      </w:r>
    </w:p>
    <w:p w14:paraId="4EE433F6" w14:textId="77777777" w:rsidR="00054C81" w:rsidRDefault="00054C81" w:rsidP="00054C81">
      <w:pPr>
        <w:pStyle w:val="MMU2"/>
        <w:numPr>
          <w:ilvl w:val="0"/>
          <w:numId w:val="5"/>
        </w:numPr>
        <w:spacing w:after="0"/>
      </w:pPr>
      <w:r>
        <w:t>Ongoing growth with increasing profitability</w:t>
      </w:r>
    </w:p>
    <w:p w14:paraId="23AA3F7B" w14:textId="77777777" w:rsidR="00054C81" w:rsidRPr="00054C81" w:rsidRDefault="00054C81" w:rsidP="00054C81">
      <w:pPr>
        <w:pStyle w:val="MMU2"/>
        <w:numPr>
          <w:ilvl w:val="0"/>
          <w:numId w:val="5"/>
        </w:numPr>
        <w:rPr>
          <w:lang w:val="en-GB"/>
        </w:rPr>
      </w:pPr>
      <w:r w:rsidRPr="00054C81">
        <w:rPr>
          <w:lang w:val="en-GB"/>
        </w:rPr>
        <w:t xml:space="preserve">Proposed dividend of EUR 1.40 per share </w:t>
      </w:r>
    </w:p>
    <w:p w14:paraId="555226BA" w14:textId="77777777" w:rsidR="00054C81" w:rsidRPr="00054C81" w:rsidRDefault="00054C81" w:rsidP="00054C81">
      <w:pPr>
        <w:pStyle w:val="MMVorspann"/>
        <w:rPr>
          <w:lang w:val="en-GB"/>
        </w:rPr>
      </w:pPr>
      <w:r w:rsidRPr="00054C81">
        <w:rPr>
          <w:lang w:val="en-GB"/>
        </w:rPr>
        <w:t xml:space="preserve">Nuremberg, 20 March 2018 – Leoni, a global provider of energy and data management solutions in the automotive sector and other industries, looks back contently on 2017. Due above all to the increasing momentum of demand, the Company’s sales rose by more than 11 percent to a new high of EUR 4.9 billion (previous year: EUR 4.4 billion), with organic growth coming to about 10 percent. Earnings before interest and taxes (EBIT) were up strongly from EUR 79 to 225 million, with the EBIT margin widening accordingly from 1.8 to 4.6 percent. </w:t>
      </w:r>
    </w:p>
    <w:p w14:paraId="4BA48DA1" w14:textId="606AF9ED" w:rsidR="00054C81" w:rsidRPr="00054C81" w:rsidRDefault="00054C81" w:rsidP="00054C81">
      <w:pPr>
        <w:pStyle w:val="MMFlietext"/>
        <w:rPr>
          <w:rFonts w:eastAsia="Calibri"/>
          <w:lang w:val="en-GB"/>
        </w:rPr>
      </w:pPr>
      <w:r w:rsidRPr="00054C81">
        <w:rPr>
          <w:lang w:val="en-GB"/>
        </w:rPr>
        <w:t xml:space="preserve">Along with the additional sales, improved operating performance – especially that of the Wiring Systems Division – also exerted a positive effect on earnings. Even when adjusted for all non-operational factors, consolidated EBIT grew by a substantial 29 percent to EUR 207 million in 2017 (previous year: EUR 161 million). Consolidated net income increased from EUR 12 to 144 million. Accordingly, Leoni intends to propose to shareholders at the Annual General Meeting to pay a dividend of EUR 1.40 (previous year: EUR 0.50) per share.  </w:t>
      </w:r>
    </w:p>
    <w:p w14:paraId="02DA2E16" w14:textId="77777777" w:rsidR="00054C81" w:rsidRPr="00054C81" w:rsidRDefault="00054C81" w:rsidP="00054C81">
      <w:pPr>
        <w:pStyle w:val="MMFlietext"/>
        <w:rPr>
          <w:rFonts w:eastAsia="Calibri"/>
          <w:lang w:val="en-GB"/>
        </w:rPr>
      </w:pPr>
      <w:r w:rsidRPr="00054C81">
        <w:rPr>
          <w:lang w:val="en-GB"/>
        </w:rPr>
        <w:t>“Leoni successfully completed its 2017 anniversary year. We generated strong organic growth while raising profitability and investing in our continued expansion. We simultaneously formulated a new Group strategy. It ensures that Leoni proactively participates in shaping such future topics as digitalization, electromobility and autonomous driving, and that it supports its customers with intelligent solutions,” said Karl Gadesmann, CFO and spokesperson for the Board of Directors of Leoni AG, during the balance sheet press conference.</w:t>
      </w:r>
    </w:p>
    <w:p w14:paraId="0726B83E" w14:textId="77777777" w:rsidR="00054C81" w:rsidRPr="00054C81" w:rsidRDefault="00054C81" w:rsidP="00B95A89">
      <w:pPr>
        <w:pStyle w:val="MMZwischenberschrift"/>
      </w:pPr>
      <w:r w:rsidRPr="00054C81">
        <w:lastRenderedPageBreak/>
        <w:t>Wiring Systems Division: order receipts at record level</w:t>
      </w:r>
    </w:p>
    <w:p w14:paraId="7376E97B" w14:textId="35809524" w:rsidR="00054C81" w:rsidRPr="00054C81" w:rsidRDefault="00054C81" w:rsidP="00054C81">
      <w:pPr>
        <w:pStyle w:val="MMFlietext"/>
        <w:rPr>
          <w:lang w:val="en-GB"/>
        </w:rPr>
      </w:pPr>
      <w:r w:rsidRPr="00054C81">
        <w:rPr>
          <w:lang w:val="en-GB"/>
        </w:rPr>
        <w:t xml:space="preserve">The Wiring Systems Division’s sales increased by nearly 14 percent to EUR 3.06 billion in the year under report (previous year: EUR 2.69 billion). The uptrend in sales of high-voltage products for electric and hybrid vehicles was especially dynamic, having risen to EUR 44 million (previous year: EUR 25 million). In this segment, Leoni furthermore booked several new orders worth a total of about EUR 1.5 billion (previous year: EUR 0.4 billion). The division’s overall order </w:t>
      </w:r>
      <w:r w:rsidR="007F06EE">
        <w:rPr>
          <w:lang w:val="en-GB"/>
        </w:rPr>
        <w:t xml:space="preserve">intake </w:t>
      </w:r>
      <w:r w:rsidRPr="00054C81">
        <w:rPr>
          <w:lang w:val="en-GB"/>
        </w:rPr>
        <w:t xml:space="preserve">more than doubled to the record level of about EUR 7 billion in 2017 (previous year: EUR 3.2 </w:t>
      </w:r>
      <w:r w:rsidR="007F06EE">
        <w:rPr>
          <w:lang w:val="en-GB"/>
        </w:rPr>
        <w:t>b</w:t>
      </w:r>
      <w:r w:rsidRPr="00054C81">
        <w:rPr>
          <w:lang w:val="en-GB"/>
        </w:rPr>
        <w:t>illion). The segment’s EBIT increased from EUR 36 to 117 million in the reporting period.</w:t>
      </w:r>
    </w:p>
    <w:p w14:paraId="33E8050B" w14:textId="000C3142" w:rsidR="00054C81" w:rsidRPr="00B95A89" w:rsidRDefault="00054C81" w:rsidP="00B95A89">
      <w:pPr>
        <w:pStyle w:val="MMZwischenberschrift"/>
      </w:pPr>
      <w:r w:rsidRPr="00B95A89">
        <w:t>Wire &amp; Cable Solutions: sales grow</w:t>
      </w:r>
      <w:r w:rsidR="007F06EE" w:rsidRPr="00B95A89">
        <w:t>th despite a business disposal</w:t>
      </w:r>
    </w:p>
    <w:p w14:paraId="67163ACE" w14:textId="058E11F1" w:rsidR="00054C81" w:rsidRPr="00054C81" w:rsidRDefault="00054C81" w:rsidP="00054C81">
      <w:pPr>
        <w:pStyle w:val="MMFlietext"/>
        <w:rPr>
          <w:lang w:val="en-GB"/>
        </w:rPr>
      </w:pPr>
      <w:r w:rsidRPr="00054C81">
        <w:rPr>
          <w:lang w:val="en-GB"/>
        </w:rPr>
        <w:t xml:space="preserve">The Wire &amp; Cable Solutions </w:t>
      </w:r>
      <w:r w:rsidR="00B95A89">
        <w:rPr>
          <w:lang w:val="en-GB"/>
        </w:rPr>
        <w:t>d</w:t>
      </w:r>
      <w:r w:rsidRPr="00054C81">
        <w:rPr>
          <w:lang w:val="en-GB"/>
        </w:rPr>
        <w:t xml:space="preserve">ivision’s sales were up by almost 7 percent to EUR 1.86 billion in fiscal 2017 (previous year: EUR 1.74 billion). Organic growth and favourable copper price effects consequently more than offset the sales lost due to the disposal of Business Group Electrical Appliances Assemblies (BG ES). The segment’s EBIT increased substantially, i.e. by one quarter, to EUR 105 million in 2017 (previous year: EUR 84 million) – this includes the non-recurring income of EUR 24 million from the sale of BG ES. </w:t>
      </w:r>
    </w:p>
    <w:p w14:paraId="5ADAD96F" w14:textId="77777777" w:rsidR="00054C81" w:rsidRPr="00054C81" w:rsidRDefault="00054C81" w:rsidP="00B95A89">
      <w:pPr>
        <w:pStyle w:val="MMZwischenberschrift"/>
      </w:pPr>
      <w:r w:rsidRPr="00054C81">
        <w:t xml:space="preserve">Capex: capacity expanded for future growth </w:t>
      </w:r>
    </w:p>
    <w:p w14:paraId="18D4670C" w14:textId="52218C64" w:rsidR="00054C81" w:rsidRPr="00054C81" w:rsidRDefault="00054C81" w:rsidP="00054C81">
      <w:pPr>
        <w:pStyle w:val="MMFlietext"/>
        <w:rPr>
          <w:lang w:val="en-GB"/>
        </w:rPr>
      </w:pPr>
      <w:r w:rsidRPr="00054C81">
        <w:rPr>
          <w:lang w:val="en-GB"/>
        </w:rPr>
        <w:t xml:space="preserve">Leoni made substantial preparation for its future in 2017. Capital investment in property, plant and equipment as well as intangible assets increased by approximately one third to EUR 281 million (previous year: EUR 211 million), the focus having been on expanding capacity in Eastern Europe and North Africa. In Germany, Leoni invested EUR 33 million in its Factory of the Future. </w:t>
      </w:r>
    </w:p>
    <w:p w14:paraId="2781E42B" w14:textId="77777777" w:rsidR="00054C81" w:rsidRPr="00054C81" w:rsidRDefault="00054C81" w:rsidP="00B95A89">
      <w:pPr>
        <w:pStyle w:val="MMZwischenberschrift"/>
        <w:rPr>
          <w:highlight w:val="yellow"/>
        </w:rPr>
      </w:pPr>
      <w:r w:rsidRPr="00054C81">
        <w:t xml:space="preserve">Financial and asset situation: equity tops one billion euros </w:t>
      </w:r>
    </w:p>
    <w:p w14:paraId="3D1B10ED" w14:textId="77777777" w:rsidR="00054C81" w:rsidRPr="00054C81" w:rsidRDefault="00054C81" w:rsidP="00054C81">
      <w:pPr>
        <w:pStyle w:val="MMFlietext"/>
        <w:rPr>
          <w:lang w:val="en-GB"/>
        </w:rPr>
      </w:pPr>
      <w:r w:rsidRPr="00054C81">
        <w:rPr>
          <w:lang w:val="en-GB"/>
        </w:rPr>
        <w:t xml:space="preserve">Operating cash flow increased from EUR 175 to 245 million in the reporting period; as planned, Leoni generated positive free cash flow of EUR 11 million (previous year: negative EUR 28 million). Equity accumulated by almost 12 percent year on year to EUR 1.02 billion in 2017 (previous year: EUR 0.92 billion) and the equity ratio improved to about 33 percent (previous year: 31 percent). The Group's net debt of EUR 406 million was virtually unchanged </w:t>
      </w:r>
      <w:r w:rsidRPr="00054C81">
        <w:rPr>
          <w:lang w:val="en-GB"/>
        </w:rPr>
        <w:lastRenderedPageBreak/>
        <w:t>from the previous year (EUR 404 million) despite the significant expansion of business.</w:t>
      </w:r>
    </w:p>
    <w:p w14:paraId="52651CA1" w14:textId="77777777" w:rsidR="00054C81" w:rsidRPr="00054C81" w:rsidRDefault="00054C81" w:rsidP="00B95A89">
      <w:pPr>
        <w:pStyle w:val="MMZwischenberschrift"/>
      </w:pPr>
      <w:r w:rsidRPr="00054C81">
        <w:t>Leoni repositioning with focus on future trends</w:t>
      </w:r>
    </w:p>
    <w:p w14:paraId="0C081FBD" w14:textId="2B72382A" w:rsidR="00054C81" w:rsidRPr="00054C81" w:rsidRDefault="00054C81" w:rsidP="00054C81">
      <w:pPr>
        <w:pStyle w:val="MMFlietext"/>
        <w:rPr>
          <w:lang w:val="en-GB"/>
        </w:rPr>
      </w:pPr>
      <w:r w:rsidRPr="00054C81">
        <w:rPr>
          <w:lang w:val="en-GB"/>
        </w:rPr>
        <w:t>L</w:t>
      </w:r>
      <w:r w:rsidR="00B95A89">
        <w:rPr>
          <w:lang w:val="en-GB"/>
        </w:rPr>
        <w:t>eoni</w:t>
      </w:r>
      <w:r w:rsidRPr="00054C81">
        <w:rPr>
          <w:lang w:val="en-GB"/>
        </w:rPr>
        <w:t xml:space="preserve"> is realigning its strategy to draw the best possible benefit from the opportunities arising from the dynamic market setting as well as the global megatrends. Both divisions already laid the foundations for this strategic transformation in 2017. The Wiring Systems Division repositioned itself as a </w:t>
      </w:r>
      <w:r w:rsidR="00B95A89">
        <w:rPr>
          <w:lang w:val="en-GB"/>
        </w:rPr>
        <w:t xml:space="preserve">solutions </w:t>
      </w:r>
      <w:r w:rsidRPr="00054C81">
        <w:rPr>
          <w:lang w:val="en-GB"/>
        </w:rPr>
        <w:t xml:space="preserve">provider of data and energy management, offering car and commercial vehicle manufacturers a broadened portfolio of innovative products and services – especially for electromobility, connectivity and autonomous driving. The Wire &amp; Cable Solutions </w:t>
      </w:r>
      <w:r w:rsidR="00B95A89">
        <w:rPr>
          <w:lang w:val="en-GB"/>
        </w:rPr>
        <w:t>d</w:t>
      </w:r>
      <w:r w:rsidRPr="00054C81">
        <w:rPr>
          <w:lang w:val="en-GB"/>
        </w:rPr>
        <w:t xml:space="preserve">ivision successfully advanced its digital transformation. </w:t>
      </w:r>
      <w:r w:rsidR="00B95A89">
        <w:rPr>
          <w:lang w:val="en-GB"/>
        </w:rPr>
        <w:t>T</w:t>
      </w:r>
      <w:r w:rsidRPr="00054C81">
        <w:rPr>
          <w:lang w:val="en-GB"/>
        </w:rPr>
        <w:t xml:space="preserve">he focus was on developing intelligent cables: this key technology, named LEONiQ, pursues the aim of making energy and data flows more efficient, secure and available. </w:t>
      </w:r>
    </w:p>
    <w:p w14:paraId="2EB64192" w14:textId="77777777" w:rsidR="00054C81" w:rsidRPr="00054C81" w:rsidRDefault="00054C81" w:rsidP="00B95A89">
      <w:pPr>
        <w:pStyle w:val="MMZwischenberschrift"/>
      </w:pPr>
      <w:r w:rsidRPr="00054C81">
        <w:t>Positive outlook: ongoing growth with increasing profitability</w:t>
      </w:r>
    </w:p>
    <w:p w14:paraId="20FE4273" w14:textId="72CA63C5" w:rsidR="00054C81" w:rsidRPr="00054C81" w:rsidRDefault="00054C81" w:rsidP="00054C81">
      <w:pPr>
        <w:pStyle w:val="MMFlietext"/>
        <w:rPr>
          <w:lang w:val="en-GB"/>
        </w:rPr>
      </w:pPr>
      <w:r w:rsidRPr="00054C81">
        <w:rPr>
          <w:lang w:val="en-GB"/>
        </w:rPr>
        <w:t xml:space="preserve">Leoni expects its sales to increase to at least EUR 5 billion in the current financial year. Consolidated EBIT will range between EUR 215 and 235 million – thereby considerably exceeding the 2017 result adjusted for non-recurring income of approximately EUR 30 million. Given the good order situation, Leoni plans to invest a sum equating to about 5 percent of sales in 2018 </w:t>
      </w:r>
      <w:r w:rsidRPr="00853582">
        <w:rPr>
          <w:lang w:val="en-GB"/>
        </w:rPr>
        <w:t>(excluding the Factory of the Future) – a figure that is also the Company’s me</w:t>
      </w:r>
      <w:r w:rsidRPr="00054C81">
        <w:rPr>
          <w:lang w:val="en-GB"/>
        </w:rPr>
        <w:t>dium-term objective. In terms of free cash flow, Leoni is again aiming for a positive figure before dividends in 2018.</w:t>
      </w:r>
    </w:p>
    <w:p w14:paraId="51A5A2BB" w14:textId="71DF0824" w:rsidR="00E01A4E" w:rsidRPr="00054C81" w:rsidRDefault="00054C81" w:rsidP="00D407C8">
      <w:pPr>
        <w:pStyle w:val="MMFlietext"/>
        <w:rPr>
          <w:highlight w:val="yellow"/>
          <w:lang w:val="en-GB"/>
        </w:rPr>
      </w:pPr>
      <w:r w:rsidRPr="00054C81">
        <w:rPr>
          <w:lang w:val="en-GB"/>
        </w:rPr>
        <w:t>Based on the generally favourable prospects in the most important markets and on the Group’s new strategy, the Board of Directors expects consolidated sales to show an average annual growth rate of more than 5 percent by 2020. The EBIT margin is targeted to re</w:t>
      </w:r>
      <w:r>
        <w:rPr>
          <w:lang w:val="en-GB"/>
        </w:rPr>
        <w:t>ach at least 5 percent in 2020</w:t>
      </w:r>
      <w:r w:rsidR="000C33D0" w:rsidRPr="00D61CCE">
        <w:rPr>
          <w:lang w:val="en-GB"/>
        </w:rPr>
        <w:t>.</w:t>
      </w:r>
      <w:r w:rsidR="00E01A4E" w:rsidRPr="00D61CCE">
        <w:rPr>
          <w:lang w:val="en-GB"/>
        </w:rPr>
        <w:t xml:space="preserve"> </w:t>
      </w:r>
    </w:p>
    <w:p w14:paraId="3EBB97C4" w14:textId="06EE3697" w:rsidR="00314F40" w:rsidRPr="00D61CCE" w:rsidRDefault="00E01A4E" w:rsidP="006678E0">
      <w:pPr>
        <w:pStyle w:val="MMFlietext"/>
        <w:rPr>
          <w:i/>
          <w:lang w:val="en-GB"/>
        </w:rPr>
      </w:pPr>
      <w:r w:rsidRPr="00D61CCE">
        <w:rPr>
          <w:i/>
          <w:lang w:val="en-GB"/>
        </w:rPr>
        <w:t>(</w:t>
      </w:r>
      <w:r w:rsidR="00853582">
        <w:rPr>
          <w:i/>
          <w:lang w:val="en-GB"/>
        </w:rPr>
        <w:t>5,976</w:t>
      </w:r>
      <w:r w:rsidRPr="00D61CCE">
        <w:rPr>
          <w:i/>
          <w:lang w:val="en-GB"/>
        </w:rPr>
        <w:t xml:space="preserve"> </w:t>
      </w:r>
      <w:r w:rsidR="00EE4972" w:rsidRPr="00D61CCE">
        <w:rPr>
          <w:i/>
          <w:lang w:val="en-GB"/>
        </w:rPr>
        <w:t>characters incl. blanks</w:t>
      </w:r>
      <w:r w:rsidRPr="00D61CCE">
        <w:rPr>
          <w:i/>
          <w:lang w:val="en-GB"/>
        </w:rPr>
        <w:t>)</w:t>
      </w:r>
    </w:p>
    <w:p w14:paraId="4C4C5F2B" w14:textId="77777777" w:rsidR="00853582" w:rsidRDefault="00853582">
      <w:pPr>
        <w:rPr>
          <w:rFonts w:ascii="Arial" w:hAnsi="Arial"/>
          <w:b/>
          <w:color w:val="112E6B"/>
          <w:sz w:val="20"/>
          <w:lang w:val="en-GB"/>
        </w:rPr>
      </w:pPr>
      <w:r>
        <w:rPr>
          <w:lang w:val="en-GB"/>
        </w:rPr>
        <w:br w:type="page"/>
      </w:r>
    </w:p>
    <w:p w14:paraId="3DBA17CA" w14:textId="7C07A4DB" w:rsidR="00F4749E" w:rsidRPr="00D61CCE" w:rsidRDefault="001706DC" w:rsidP="006678E0">
      <w:pPr>
        <w:pStyle w:val="MMKurzprofilberschrift"/>
        <w:rPr>
          <w:lang w:val="en-GB"/>
        </w:rPr>
      </w:pPr>
      <w:r w:rsidRPr="00D61CCE">
        <w:rPr>
          <w:rFonts w:cs="Times New Roman"/>
          <w:szCs w:val="24"/>
          <w:lang w:val="en-GB"/>
        </w:rPr>
        <w:lastRenderedPageBreak/>
        <w:t>Leoni performance overview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81"/>
        <w:gridCol w:w="1181"/>
        <w:gridCol w:w="1182"/>
      </w:tblGrid>
      <w:tr w:rsidR="00D407C8" w:rsidRPr="00D61CCE" w14:paraId="7349779F" w14:textId="77777777" w:rsidTr="00D407C8">
        <w:tc>
          <w:tcPr>
            <w:tcW w:w="4361" w:type="dxa"/>
          </w:tcPr>
          <w:p w14:paraId="5B10345A" w14:textId="33F45967" w:rsidR="00D407C8" w:rsidRPr="00D61CCE" w:rsidRDefault="00D407C8" w:rsidP="005E2FE7">
            <w:pPr>
              <w:tabs>
                <w:tab w:val="left" w:pos="8505"/>
              </w:tabs>
              <w:rPr>
                <w:rFonts w:ascii="Arial" w:hAnsi="Arial" w:cs="Arial"/>
                <w:b/>
                <w:sz w:val="18"/>
                <w:szCs w:val="18"/>
                <w:lang w:val="en-GB"/>
              </w:rPr>
            </w:pPr>
            <w:r w:rsidRPr="00D61CCE">
              <w:rPr>
                <w:rFonts w:ascii="Arial" w:hAnsi="Arial" w:cs="Arial"/>
                <w:b/>
                <w:sz w:val="18"/>
                <w:szCs w:val="18"/>
                <w:lang w:val="en-GB"/>
              </w:rPr>
              <w:t>Group key figures</w:t>
            </w:r>
          </w:p>
        </w:tc>
        <w:tc>
          <w:tcPr>
            <w:tcW w:w="1181" w:type="dxa"/>
          </w:tcPr>
          <w:p w14:paraId="05B3A8BA" w14:textId="3730B73B" w:rsidR="00D407C8" w:rsidRPr="00D61CCE" w:rsidRDefault="00D407C8" w:rsidP="00D407C8">
            <w:pPr>
              <w:tabs>
                <w:tab w:val="left" w:pos="8505"/>
              </w:tabs>
              <w:rPr>
                <w:rFonts w:ascii="Arial" w:hAnsi="Arial" w:cs="Arial"/>
                <w:b/>
                <w:sz w:val="18"/>
                <w:szCs w:val="18"/>
                <w:lang w:val="en-GB"/>
              </w:rPr>
            </w:pPr>
            <w:r w:rsidRPr="00D61CCE">
              <w:rPr>
                <w:rFonts w:ascii="Arial" w:hAnsi="Arial" w:cs="Arial"/>
                <w:b/>
                <w:sz w:val="18"/>
                <w:szCs w:val="18"/>
                <w:lang w:val="en-GB"/>
              </w:rPr>
              <w:t>201</w:t>
            </w:r>
            <w:r w:rsidR="00853582">
              <w:rPr>
                <w:rFonts w:ascii="Arial" w:hAnsi="Arial" w:cs="Arial"/>
                <w:b/>
                <w:sz w:val="18"/>
                <w:szCs w:val="18"/>
                <w:lang w:val="en-GB"/>
              </w:rPr>
              <w:t>7</w:t>
            </w:r>
          </w:p>
        </w:tc>
        <w:tc>
          <w:tcPr>
            <w:tcW w:w="1181" w:type="dxa"/>
          </w:tcPr>
          <w:p w14:paraId="5035864B" w14:textId="357B3722" w:rsidR="00D407C8" w:rsidRPr="00D61CCE" w:rsidRDefault="00D407C8" w:rsidP="005E2FE7">
            <w:pPr>
              <w:tabs>
                <w:tab w:val="left" w:pos="8505"/>
              </w:tabs>
              <w:rPr>
                <w:rFonts w:ascii="Arial" w:hAnsi="Arial" w:cs="Arial"/>
                <w:b/>
                <w:sz w:val="18"/>
                <w:szCs w:val="18"/>
                <w:lang w:val="en-GB"/>
              </w:rPr>
            </w:pPr>
            <w:r w:rsidRPr="00D61CCE">
              <w:rPr>
                <w:rFonts w:ascii="Arial" w:hAnsi="Arial" w:cs="Arial"/>
                <w:b/>
                <w:sz w:val="18"/>
                <w:szCs w:val="18"/>
                <w:lang w:val="en-GB"/>
              </w:rPr>
              <w:t>201</w:t>
            </w:r>
            <w:r w:rsidR="00853582">
              <w:rPr>
                <w:rFonts w:ascii="Arial" w:hAnsi="Arial" w:cs="Arial"/>
                <w:b/>
                <w:sz w:val="18"/>
                <w:szCs w:val="18"/>
                <w:lang w:val="en-GB"/>
              </w:rPr>
              <w:t xml:space="preserve">6 </w:t>
            </w:r>
            <w:r w:rsidR="00853582" w:rsidRPr="00853582">
              <w:rPr>
                <w:rFonts w:ascii="Arial" w:hAnsi="Arial" w:cs="Arial"/>
                <w:b/>
                <w:sz w:val="18"/>
                <w:szCs w:val="18"/>
                <w:vertAlign w:val="superscript"/>
                <w:lang w:val="en-GB"/>
              </w:rPr>
              <w:t>(2)</w:t>
            </w:r>
          </w:p>
        </w:tc>
        <w:tc>
          <w:tcPr>
            <w:tcW w:w="1182" w:type="dxa"/>
          </w:tcPr>
          <w:p w14:paraId="167A778F" w14:textId="651308C3" w:rsidR="00D407C8" w:rsidRPr="00D61CCE" w:rsidRDefault="00D407C8" w:rsidP="001706DC">
            <w:pPr>
              <w:tabs>
                <w:tab w:val="left" w:pos="8505"/>
              </w:tabs>
              <w:ind w:left="-13" w:right="-108"/>
              <w:rPr>
                <w:rFonts w:ascii="Arial" w:hAnsi="Arial" w:cs="Arial"/>
                <w:b/>
                <w:sz w:val="18"/>
                <w:szCs w:val="18"/>
                <w:lang w:val="en-GB"/>
              </w:rPr>
            </w:pPr>
            <w:r w:rsidRPr="00D61CCE">
              <w:rPr>
                <w:rFonts w:ascii="Arial" w:hAnsi="Arial" w:cs="Arial"/>
                <w:b/>
                <w:sz w:val="18"/>
                <w:szCs w:val="18"/>
                <w:lang w:val="en-GB"/>
              </w:rPr>
              <w:t>Change</w:t>
            </w:r>
          </w:p>
        </w:tc>
      </w:tr>
      <w:tr w:rsidR="00853582" w:rsidRPr="00853582" w14:paraId="2389C128" w14:textId="77777777" w:rsidTr="00D407C8">
        <w:trPr>
          <w:trHeight w:val="284"/>
        </w:trPr>
        <w:tc>
          <w:tcPr>
            <w:tcW w:w="4361" w:type="dxa"/>
            <w:vAlign w:val="center"/>
          </w:tcPr>
          <w:p w14:paraId="1F59C285" w14:textId="40169FC2"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Consolidated sales [€ million]</w:t>
            </w:r>
          </w:p>
        </w:tc>
        <w:tc>
          <w:tcPr>
            <w:tcW w:w="1181" w:type="dxa"/>
            <w:vAlign w:val="center"/>
          </w:tcPr>
          <w:p w14:paraId="736470A6" w14:textId="2E8BD8FD"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4,922.8</w:t>
            </w:r>
          </w:p>
        </w:tc>
        <w:tc>
          <w:tcPr>
            <w:tcW w:w="1181" w:type="dxa"/>
            <w:vAlign w:val="center"/>
          </w:tcPr>
          <w:p w14:paraId="7F3A02A2" w14:textId="29C32E90"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4</w:t>
            </w:r>
            <w:r>
              <w:rPr>
                <w:rFonts w:ascii="Arial" w:hAnsi="Arial" w:cs="Arial"/>
                <w:sz w:val="18"/>
                <w:szCs w:val="18"/>
                <w:lang w:val="en-GB"/>
              </w:rPr>
              <w:t>,</w:t>
            </w:r>
            <w:r w:rsidRPr="00853582">
              <w:rPr>
                <w:rFonts w:ascii="Arial" w:hAnsi="Arial" w:cs="Arial"/>
                <w:sz w:val="18"/>
                <w:szCs w:val="18"/>
                <w:lang w:val="en-GB"/>
              </w:rPr>
              <w:t>431</w:t>
            </w:r>
            <w:r>
              <w:rPr>
                <w:rFonts w:ascii="Arial" w:hAnsi="Arial" w:cs="Arial"/>
                <w:sz w:val="18"/>
                <w:szCs w:val="18"/>
                <w:lang w:val="en-GB"/>
              </w:rPr>
              <w:t>.</w:t>
            </w:r>
            <w:r w:rsidRPr="00853582">
              <w:rPr>
                <w:rFonts w:ascii="Arial" w:hAnsi="Arial" w:cs="Arial"/>
                <w:sz w:val="18"/>
                <w:szCs w:val="18"/>
                <w:lang w:val="en-GB"/>
              </w:rPr>
              <w:t>3</w:t>
            </w:r>
          </w:p>
        </w:tc>
        <w:tc>
          <w:tcPr>
            <w:tcW w:w="1182" w:type="dxa"/>
            <w:vAlign w:val="center"/>
          </w:tcPr>
          <w:p w14:paraId="13E06B86" w14:textId="0A2160A1"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11</w:t>
            </w:r>
            <w:r>
              <w:rPr>
                <w:rFonts w:ascii="Arial" w:hAnsi="Arial" w:cs="Arial"/>
                <w:sz w:val="18"/>
                <w:szCs w:val="18"/>
                <w:lang w:val="en-GB"/>
              </w:rPr>
              <w:t>.</w:t>
            </w:r>
            <w:r w:rsidRPr="00853582">
              <w:rPr>
                <w:rFonts w:ascii="Arial" w:hAnsi="Arial" w:cs="Arial"/>
                <w:sz w:val="18"/>
                <w:szCs w:val="18"/>
                <w:lang w:val="en-GB"/>
              </w:rPr>
              <w:t>1 %</w:t>
            </w:r>
          </w:p>
        </w:tc>
      </w:tr>
      <w:tr w:rsidR="00853582" w:rsidRPr="00853582" w14:paraId="4259C592" w14:textId="77777777" w:rsidTr="00D407C8">
        <w:trPr>
          <w:trHeight w:val="284"/>
        </w:trPr>
        <w:tc>
          <w:tcPr>
            <w:tcW w:w="4361" w:type="dxa"/>
            <w:vAlign w:val="center"/>
          </w:tcPr>
          <w:p w14:paraId="70EF0644" w14:textId="3EFB9910"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EBIT [€ million]</w:t>
            </w:r>
          </w:p>
        </w:tc>
        <w:tc>
          <w:tcPr>
            <w:tcW w:w="1181" w:type="dxa"/>
            <w:vAlign w:val="center"/>
          </w:tcPr>
          <w:p w14:paraId="67A8DD3B" w14:textId="713593CC"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225</w:t>
            </w:r>
            <w:r>
              <w:rPr>
                <w:rFonts w:ascii="Arial" w:hAnsi="Arial" w:cs="Arial"/>
                <w:sz w:val="18"/>
                <w:szCs w:val="18"/>
                <w:lang w:val="en-GB"/>
              </w:rPr>
              <w:t>.</w:t>
            </w:r>
            <w:r w:rsidRPr="00853582">
              <w:rPr>
                <w:rFonts w:ascii="Arial" w:hAnsi="Arial" w:cs="Arial"/>
                <w:sz w:val="18"/>
                <w:szCs w:val="18"/>
                <w:lang w:val="en-GB"/>
              </w:rPr>
              <w:t>3</w:t>
            </w:r>
          </w:p>
        </w:tc>
        <w:tc>
          <w:tcPr>
            <w:tcW w:w="1181" w:type="dxa"/>
            <w:vAlign w:val="center"/>
          </w:tcPr>
          <w:p w14:paraId="362667E3" w14:textId="15D2A74E"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79</w:t>
            </w:r>
            <w:r>
              <w:rPr>
                <w:rFonts w:ascii="Arial" w:hAnsi="Arial" w:cs="Arial"/>
                <w:sz w:val="18"/>
                <w:szCs w:val="18"/>
                <w:lang w:val="en-GB"/>
              </w:rPr>
              <w:t>.</w:t>
            </w:r>
            <w:r w:rsidRPr="00853582">
              <w:rPr>
                <w:rFonts w:ascii="Arial" w:hAnsi="Arial" w:cs="Arial"/>
                <w:sz w:val="18"/>
                <w:szCs w:val="18"/>
                <w:lang w:val="en-GB"/>
              </w:rPr>
              <w:t>2</w:t>
            </w:r>
          </w:p>
        </w:tc>
        <w:tc>
          <w:tcPr>
            <w:tcW w:w="1182" w:type="dxa"/>
            <w:vAlign w:val="center"/>
          </w:tcPr>
          <w:p w14:paraId="3AFACB65" w14:textId="55C47E47"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&gt; 100</w:t>
            </w:r>
            <w:r>
              <w:rPr>
                <w:rFonts w:ascii="Arial" w:hAnsi="Arial" w:cs="Arial"/>
                <w:sz w:val="18"/>
                <w:szCs w:val="18"/>
                <w:lang w:val="en-GB"/>
              </w:rPr>
              <w:t>.</w:t>
            </w:r>
            <w:r w:rsidRPr="00853582">
              <w:rPr>
                <w:rFonts w:ascii="Arial" w:hAnsi="Arial" w:cs="Arial"/>
                <w:sz w:val="18"/>
                <w:szCs w:val="18"/>
                <w:lang w:val="en-GB"/>
              </w:rPr>
              <w:t>0 %</w:t>
            </w:r>
          </w:p>
        </w:tc>
      </w:tr>
      <w:tr w:rsidR="00853582" w:rsidRPr="00853582" w14:paraId="141D7760" w14:textId="77777777" w:rsidTr="00D407C8">
        <w:trPr>
          <w:trHeight w:val="284"/>
        </w:trPr>
        <w:tc>
          <w:tcPr>
            <w:tcW w:w="4361" w:type="dxa"/>
            <w:vAlign w:val="center"/>
          </w:tcPr>
          <w:p w14:paraId="7CCDCA61" w14:textId="552BCE82" w:rsidR="00853582" w:rsidRPr="00D61CCE" w:rsidRDefault="00853582" w:rsidP="00853582">
            <w:pPr>
              <w:tabs>
                <w:tab w:val="left" w:pos="8505"/>
              </w:tabs>
              <w:rPr>
                <w:rFonts w:ascii="Arial" w:hAnsi="Arial" w:cs="Arial"/>
                <w:sz w:val="18"/>
                <w:szCs w:val="18"/>
                <w:lang w:val="en-GB"/>
              </w:rPr>
            </w:pPr>
            <w:r w:rsidRPr="00D61CCE">
              <w:rPr>
                <w:rFonts w:ascii="Arial" w:hAnsi="Arial"/>
                <w:noProof/>
                <w:sz w:val="18"/>
                <w:lang w:val="en-GB"/>
              </w:rPr>
              <w:t xml:space="preserve">Adjusted EBIT </w:t>
            </w:r>
            <w:r w:rsidRPr="00D61CCE">
              <w:rPr>
                <w:rFonts w:ascii="Arial" w:hAnsi="Arial"/>
                <w:noProof/>
                <w:sz w:val="18"/>
                <w:vertAlign w:val="superscript"/>
                <w:lang w:val="en-GB"/>
              </w:rPr>
              <w:t>(1)</w:t>
            </w:r>
            <w:r w:rsidRPr="00D61CCE">
              <w:rPr>
                <w:rFonts w:ascii="Arial" w:hAnsi="Arial"/>
                <w:noProof/>
                <w:sz w:val="18"/>
                <w:lang w:val="en-GB"/>
              </w:rPr>
              <w:t xml:space="preserve"> </w:t>
            </w:r>
            <w:r w:rsidRPr="00D61CCE">
              <w:rPr>
                <w:rFonts w:ascii="Arial" w:hAnsi="Arial"/>
                <w:sz w:val="18"/>
                <w:lang w:val="en-GB"/>
              </w:rPr>
              <w:t>[€ million]</w:t>
            </w:r>
          </w:p>
        </w:tc>
        <w:tc>
          <w:tcPr>
            <w:tcW w:w="1181" w:type="dxa"/>
            <w:vAlign w:val="center"/>
          </w:tcPr>
          <w:p w14:paraId="1E36477F" w14:textId="26DA3F80"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207</w:t>
            </w:r>
            <w:r>
              <w:rPr>
                <w:rFonts w:ascii="Arial" w:hAnsi="Arial" w:cs="Arial"/>
                <w:sz w:val="18"/>
                <w:szCs w:val="18"/>
                <w:lang w:val="en-GB"/>
              </w:rPr>
              <w:t>.</w:t>
            </w:r>
            <w:r w:rsidRPr="00853582">
              <w:rPr>
                <w:rFonts w:ascii="Arial" w:hAnsi="Arial" w:cs="Arial"/>
                <w:sz w:val="18"/>
                <w:szCs w:val="18"/>
                <w:lang w:val="en-GB"/>
              </w:rPr>
              <w:t>3</w:t>
            </w:r>
          </w:p>
        </w:tc>
        <w:tc>
          <w:tcPr>
            <w:tcW w:w="1181" w:type="dxa"/>
            <w:vAlign w:val="center"/>
          </w:tcPr>
          <w:p w14:paraId="27D4C08B" w14:textId="70385517"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161</w:t>
            </w:r>
            <w:r>
              <w:rPr>
                <w:rFonts w:ascii="Arial" w:hAnsi="Arial" w:cs="Arial"/>
                <w:sz w:val="18"/>
                <w:szCs w:val="18"/>
                <w:lang w:val="en-GB"/>
              </w:rPr>
              <w:t>.</w:t>
            </w:r>
            <w:r w:rsidRPr="00853582">
              <w:rPr>
                <w:rFonts w:ascii="Arial" w:hAnsi="Arial" w:cs="Arial"/>
                <w:sz w:val="18"/>
                <w:szCs w:val="18"/>
                <w:lang w:val="en-GB"/>
              </w:rPr>
              <w:t>2</w:t>
            </w:r>
          </w:p>
        </w:tc>
        <w:tc>
          <w:tcPr>
            <w:tcW w:w="1182" w:type="dxa"/>
            <w:vAlign w:val="center"/>
          </w:tcPr>
          <w:p w14:paraId="533ADC2C" w14:textId="51D0EA98"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28</w:t>
            </w:r>
            <w:r>
              <w:rPr>
                <w:rFonts w:ascii="Arial" w:hAnsi="Arial" w:cs="Arial"/>
                <w:sz w:val="18"/>
                <w:szCs w:val="18"/>
                <w:lang w:val="en-GB"/>
              </w:rPr>
              <w:t>.</w:t>
            </w:r>
            <w:r w:rsidRPr="00853582">
              <w:rPr>
                <w:rFonts w:ascii="Arial" w:hAnsi="Arial" w:cs="Arial"/>
                <w:sz w:val="18"/>
                <w:szCs w:val="18"/>
                <w:lang w:val="en-GB"/>
              </w:rPr>
              <w:t>6 %</w:t>
            </w:r>
          </w:p>
        </w:tc>
      </w:tr>
      <w:tr w:rsidR="00853582" w:rsidRPr="00853582" w14:paraId="5613E471" w14:textId="77777777" w:rsidTr="00D407C8">
        <w:trPr>
          <w:trHeight w:val="284"/>
        </w:trPr>
        <w:tc>
          <w:tcPr>
            <w:tcW w:w="4361" w:type="dxa"/>
            <w:vAlign w:val="center"/>
          </w:tcPr>
          <w:p w14:paraId="2997DD57" w14:textId="0C9E26F3"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EBIT margin [%]</w:t>
            </w:r>
          </w:p>
        </w:tc>
        <w:tc>
          <w:tcPr>
            <w:tcW w:w="1181" w:type="dxa"/>
            <w:vAlign w:val="center"/>
          </w:tcPr>
          <w:p w14:paraId="7397D71D" w14:textId="19106611"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4</w:t>
            </w:r>
            <w:r>
              <w:rPr>
                <w:rFonts w:ascii="Arial" w:hAnsi="Arial" w:cs="Arial"/>
                <w:sz w:val="18"/>
                <w:szCs w:val="18"/>
                <w:lang w:val="en-GB"/>
              </w:rPr>
              <w:t>.</w:t>
            </w:r>
            <w:r w:rsidRPr="00853582">
              <w:rPr>
                <w:rFonts w:ascii="Arial" w:hAnsi="Arial" w:cs="Arial"/>
                <w:sz w:val="18"/>
                <w:szCs w:val="18"/>
                <w:lang w:val="en-GB"/>
              </w:rPr>
              <w:t>6</w:t>
            </w:r>
          </w:p>
        </w:tc>
        <w:tc>
          <w:tcPr>
            <w:tcW w:w="1181" w:type="dxa"/>
            <w:vAlign w:val="center"/>
          </w:tcPr>
          <w:p w14:paraId="0BC14444" w14:textId="788C4074"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w:t>
            </w:r>
            <w:r>
              <w:rPr>
                <w:rFonts w:ascii="Arial" w:hAnsi="Arial" w:cs="Arial"/>
                <w:sz w:val="18"/>
                <w:szCs w:val="18"/>
                <w:lang w:val="en-GB"/>
              </w:rPr>
              <w:t>.</w:t>
            </w:r>
            <w:r w:rsidRPr="00853582">
              <w:rPr>
                <w:rFonts w:ascii="Arial" w:hAnsi="Arial" w:cs="Arial"/>
                <w:sz w:val="18"/>
                <w:szCs w:val="18"/>
                <w:lang w:val="en-GB"/>
              </w:rPr>
              <w:t>8</w:t>
            </w:r>
          </w:p>
        </w:tc>
        <w:tc>
          <w:tcPr>
            <w:tcW w:w="1182" w:type="dxa"/>
            <w:vAlign w:val="center"/>
          </w:tcPr>
          <w:p w14:paraId="1D2CADCA" w14:textId="283B55F1"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w:t>
            </w:r>
          </w:p>
        </w:tc>
      </w:tr>
      <w:tr w:rsidR="00853582" w:rsidRPr="00853582" w14:paraId="3E6B9E8D" w14:textId="77777777" w:rsidTr="00D407C8">
        <w:trPr>
          <w:trHeight w:val="284"/>
        </w:trPr>
        <w:tc>
          <w:tcPr>
            <w:tcW w:w="4361" w:type="dxa"/>
            <w:vAlign w:val="center"/>
          </w:tcPr>
          <w:p w14:paraId="72413E3E" w14:textId="2A48E3F6"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Consolidated net income [€ million]</w:t>
            </w:r>
          </w:p>
        </w:tc>
        <w:tc>
          <w:tcPr>
            <w:tcW w:w="1181" w:type="dxa"/>
            <w:vAlign w:val="center"/>
          </w:tcPr>
          <w:p w14:paraId="4559CF5C" w14:textId="0166666E"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143.9</w:t>
            </w:r>
          </w:p>
        </w:tc>
        <w:tc>
          <w:tcPr>
            <w:tcW w:w="1181" w:type="dxa"/>
            <w:vAlign w:val="center"/>
          </w:tcPr>
          <w:p w14:paraId="7E6E2B89" w14:textId="13A6AA04"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11</w:t>
            </w:r>
            <w:r>
              <w:rPr>
                <w:rFonts w:ascii="Arial" w:hAnsi="Arial" w:cs="Arial"/>
                <w:sz w:val="18"/>
                <w:szCs w:val="18"/>
                <w:lang w:val="en-GB"/>
              </w:rPr>
              <w:t>.</w:t>
            </w:r>
            <w:r w:rsidRPr="00853582">
              <w:rPr>
                <w:rFonts w:ascii="Arial" w:hAnsi="Arial" w:cs="Arial"/>
                <w:sz w:val="18"/>
                <w:szCs w:val="18"/>
                <w:lang w:val="en-GB"/>
              </w:rPr>
              <w:t>5</w:t>
            </w:r>
          </w:p>
        </w:tc>
        <w:tc>
          <w:tcPr>
            <w:tcW w:w="1182" w:type="dxa"/>
            <w:vAlign w:val="center"/>
          </w:tcPr>
          <w:p w14:paraId="1542CAD2" w14:textId="6BFAEBA8"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&gt; 100</w:t>
            </w:r>
            <w:r>
              <w:rPr>
                <w:rFonts w:ascii="Arial" w:hAnsi="Arial" w:cs="Arial"/>
                <w:sz w:val="18"/>
                <w:szCs w:val="18"/>
                <w:lang w:val="en-GB"/>
              </w:rPr>
              <w:t>.</w:t>
            </w:r>
            <w:r w:rsidRPr="00853582">
              <w:rPr>
                <w:rFonts w:ascii="Arial" w:hAnsi="Arial" w:cs="Arial"/>
                <w:sz w:val="18"/>
                <w:szCs w:val="18"/>
                <w:lang w:val="en-GB"/>
              </w:rPr>
              <w:t>0 %</w:t>
            </w:r>
          </w:p>
        </w:tc>
      </w:tr>
      <w:tr w:rsidR="00853582" w:rsidRPr="00853582" w14:paraId="1BBCAE81" w14:textId="77777777" w:rsidTr="00D407C8">
        <w:trPr>
          <w:trHeight w:val="284"/>
        </w:trPr>
        <w:tc>
          <w:tcPr>
            <w:tcW w:w="4361" w:type="dxa"/>
            <w:vAlign w:val="center"/>
          </w:tcPr>
          <w:p w14:paraId="60A25F52" w14:textId="27AF506C" w:rsidR="00853582" w:rsidRPr="00D61CCE" w:rsidRDefault="00853582" w:rsidP="00853582">
            <w:pPr>
              <w:tabs>
                <w:tab w:val="left" w:pos="8505"/>
              </w:tabs>
              <w:rPr>
                <w:rFonts w:ascii="Arial" w:hAnsi="Arial" w:cs="Arial"/>
                <w:sz w:val="18"/>
                <w:szCs w:val="18"/>
                <w:lang w:val="en-GB"/>
              </w:rPr>
            </w:pPr>
            <w:r w:rsidRPr="00D61CCE">
              <w:rPr>
                <w:rFonts w:ascii="Arial" w:hAnsi="Arial"/>
                <w:noProof/>
                <w:sz w:val="18"/>
                <w:lang w:val="en-GB"/>
              </w:rPr>
              <w:t>Free cash flow [</w:t>
            </w:r>
            <w:r w:rsidRPr="00D61CCE">
              <w:rPr>
                <w:rFonts w:ascii="Arial" w:hAnsi="Arial"/>
                <w:sz w:val="18"/>
                <w:lang w:val="en-GB"/>
              </w:rPr>
              <w:t>€ million]</w:t>
            </w:r>
          </w:p>
        </w:tc>
        <w:tc>
          <w:tcPr>
            <w:tcW w:w="1181" w:type="dxa"/>
            <w:vAlign w:val="center"/>
          </w:tcPr>
          <w:p w14:paraId="1A7D77D1" w14:textId="0DF76012"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11</w:t>
            </w:r>
            <w:r>
              <w:rPr>
                <w:rFonts w:ascii="Arial" w:hAnsi="Arial" w:cs="Arial"/>
                <w:sz w:val="18"/>
                <w:szCs w:val="18"/>
                <w:lang w:val="en-GB"/>
              </w:rPr>
              <w:t>.</w:t>
            </w:r>
            <w:r w:rsidRPr="00853582">
              <w:rPr>
                <w:rFonts w:ascii="Arial" w:hAnsi="Arial" w:cs="Arial"/>
                <w:sz w:val="18"/>
                <w:szCs w:val="18"/>
                <w:lang w:val="en-GB"/>
              </w:rPr>
              <w:t>1</w:t>
            </w:r>
          </w:p>
        </w:tc>
        <w:tc>
          <w:tcPr>
            <w:tcW w:w="1181" w:type="dxa"/>
            <w:vAlign w:val="center"/>
          </w:tcPr>
          <w:p w14:paraId="1D810909" w14:textId="2C565A9D" w:rsidR="00853582" w:rsidRPr="00D61CCE" w:rsidRDefault="00853582" w:rsidP="00853582">
            <w:pPr>
              <w:tabs>
                <w:tab w:val="left" w:pos="8505"/>
              </w:tabs>
              <w:rPr>
                <w:rFonts w:ascii="Arial" w:hAnsi="Arial" w:cs="Arial"/>
                <w:sz w:val="18"/>
                <w:szCs w:val="18"/>
                <w:lang w:val="en-GB"/>
              </w:rPr>
            </w:pPr>
            <w:r>
              <w:rPr>
                <w:rFonts w:ascii="Arial" w:hAnsi="Arial" w:cs="Arial"/>
                <w:sz w:val="18"/>
                <w:szCs w:val="18"/>
                <w:lang w:val="en-GB"/>
              </w:rPr>
              <w:t>(</w:t>
            </w:r>
            <w:r w:rsidRPr="00853582">
              <w:rPr>
                <w:rFonts w:ascii="Arial" w:hAnsi="Arial" w:cs="Arial"/>
                <w:sz w:val="18"/>
                <w:szCs w:val="18"/>
                <w:lang w:val="en-GB"/>
              </w:rPr>
              <w:t>27</w:t>
            </w:r>
            <w:r>
              <w:rPr>
                <w:rFonts w:ascii="Arial" w:hAnsi="Arial" w:cs="Arial"/>
                <w:sz w:val="18"/>
                <w:szCs w:val="18"/>
                <w:lang w:val="en-GB"/>
              </w:rPr>
              <w:t>.</w:t>
            </w:r>
            <w:r w:rsidRPr="00853582">
              <w:rPr>
                <w:rFonts w:ascii="Arial" w:hAnsi="Arial" w:cs="Arial"/>
                <w:sz w:val="18"/>
                <w:szCs w:val="18"/>
                <w:lang w:val="en-GB"/>
              </w:rPr>
              <w:t>5</w:t>
            </w:r>
            <w:r>
              <w:rPr>
                <w:rFonts w:ascii="Arial" w:hAnsi="Arial" w:cs="Arial"/>
                <w:sz w:val="18"/>
                <w:szCs w:val="18"/>
                <w:lang w:val="en-GB"/>
              </w:rPr>
              <w:t>)</w:t>
            </w:r>
          </w:p>
        </w:tc>
        <w:tc>
          <w:tcPr>
            <w:tcW w:w="1182" w:type="dxa"/>
            <w:vAlign w:val="center"/>
          </w:tcPr>
          <w:p w14:paraId="23695A5F" w14:textId="75FC1F9A"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&gt; 100</w:t>
            </w:r>
            <w:r>
              <w:rPr>
                <w:rFonts w:ascii="Arial" w:hAnsi="Arial" w:cs="Arial"/>
                <w:sz w:val="18"/>
                <w:szCs w:val="18"/>
                <w:lang w:val="en-GB"/>
              </w:rPr>
              <w:t>.</w:t>
            </w:r>
            <w:r w:rsidRPr="00853582">
              <w:rPr>
                <w:rFonts w:ascii="Arial" w:hAnsi="Arial" w:cs="Arial"/>
                <w:sz w:val="18"/>
                <w:szCs w:val="18"/>
                <w:lang w:val="en-GB"/>
              </w:rPr>
              <w:t>0 %</w:t>
            </w:r>
          </w:p>
        </w:tc>
      </w:tr>
      <w:tr w:rsidR="00853582" w:rsidRPr="00853582" w14:paraId="1C40E474" w14:textId="77777777" w:rsidTr="00D407C8">
        <w:trPr>
          <w:trHeight w:val="284"/>
        </w:trPr>
        <w:tc>
          <w:tcPr>
            <w:tcW w:w="4361" w:type="dxa"/>
            <w:vAlign w:val="center"/>
          </w:tcPr>
          <w:p w14:paraId="4F9F5A15" w14:textId="3C871FC8"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Return on capital employed [%]</w:t>
            </w:r>
          </w:p>
        </w:tc>
        <w:tc>
          <w:tcPr>
            <w:tcW w:w="1181" w:type="dxa"/>
            <w:vAlign w:val="center"/>
          </w:tcPr>
          <w:p w14:paraId="3A24165B" w14:textId="14713D6D"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14</w:t>
            </w:r>
            <w:r>
              <w:rPr>
                <w:rFonts w:ascii="Arial" w:hAnsi="Arial" w:cs="Arial"/>
                <w:sz w:val="18"/>
                <w:szCs w:val="18"/>
                <w:lang w:val="en-GB"/>
              </w:rPr>
              <w:t>.</w:t>
            </w:r>
            <w:r w:rsidRPr="00853582">
              <w:rPr>
                <w:rFonts w:ascii="Arial" w:hAnsi="Arial" w:cs="Arial"/>
                <w:sz w:val="18"/>
                <w:szCs w:val="18"/>
                <w:lang w:val="en-GB"/>
              </w:rPr>
              <w:t>1</w:t>
            </w:r>
          </w:p>
        </w:tc>
        <w:tc>
          <w:tcPr>
            <w:tcW w:w="1181" w:type="dxa"/>
            <w:vAlign w:val="center"/>
          </w:tcPr>
          <w:p w14:paraId="2E92C96D" w14:textId="30310913"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5</w:t>
            </w:r>
            <w:r>
              <w:rPr>
                <w:rFonts w:ascii="Arial" w:hAnsi="Arial" w:cs="Arial"/>
                <w:sz w:val="18"/>
                <w:szCs w:val="18"/>
                <w:lang w:val="en-GB"/>
              </w:rPr>
              <w:t>.</w:t>
            </w:r>
            <w:r w:rsidRPr="00853582">
              <w:rPr>
                <w:rFonts w:ascii="Arial" w:hAnsi="Arial" w:cs="Arial"/>
                <w:sz w:val="18"/>
                <w:szCs w:val="18"/>
                <w:lang w:val="en-GB"/>
              </w:rPr>
              <w:t>1</w:t>
            </w:r>
          </w:p>
        </w:tc>
        <w:tc>
          <w:tcPr>
            <w:tcW w:w="1182" w:type="dxa"/>
            <w:vAlign w:val="center"/>
          </w:tcPr>
          <w:p w14:paraId="6CC9FECD" w14:textId="720AB9E3"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w:t>
            </w:r>
          </w:p>
        </w:tc>
      </w:tr>
      <w:tr w:rsidR="00853582" w:rsidRPr="00853582" w14:paraId="53AF616D" w14:textId="77777777" w:rsidTr="00D407C8">
        <w:trPr>
          <w:trHeight w:val="284"/>
        </w:trPr>
        <w:tc>
          <w:tcPr>
            <w:tcW w:w="4361" w:type="dxa"/>
            <w:vAlign w:val="center"/>
          </w:tcPr>
          <w:p w14:paraId="1EFEFE47" w14:textId="26DB0949"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Capital expenditure on property, plant and equipment as well as intangible assets [€ million]</w:t>
            </w:r>
          </w:p>
        </w:tc>
        <w:tc>
          <w:tcPr>
            <w:tcW w:w="1181" w:type="dxa"/>
            <w:vAlign w:val="center"/>
          </w:tcPr>
          <w:p w14:paraId="1733F672" w14:textId="520FD512"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281.4</w:t>
            </w:r>
          </w:p>
        </w:tc>
        <w:tc>
          <w:tcPr>
            <w:tcW w:w="1181" w:type="dxa"/>
            <w:vAlign w:val="center"/>
          </w:tcPr>
          <w:p w14:paraId="2C236EBB" w14:textId="7649D753"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210</w:t>
            </w:r>
            <w:r>
              <w:rPr>
                <w:rFonts w:ascii="Arial" w:hAnsi="Arial" w:cs="Arial"/>
                <w:sz w:val="18"/>
                <w:szCs w:val="18"/>
                <w:lang w:val="en-GB"/>
              </w:rPr>
              <w:t>.</w:t>
            </w:r>
            <w:r w:rsidRPr="00853582">
              <w:rPr>
                <w:rFonts w:ascii="Arial" w:hAnsi="Arial" w:cs="Arial"/>
                <w:sz w:val="18"/>
                <w:szCs w:val="18"/>
                <w:lang w:val="en-GB"/>
              </w:rPr>
              <w:t>8</w:t>
            </w:r>
          </w:p>
        </w:tc>
        <w:tc>
          <w:tcPr>
            <w:tcW w:w="1182" w:type="dxa"/>
            <w:vAlign w:val="center"/>
          </w:tcPr>
          <w:p w14:paraId="2F61BD7E" w14:textId="4C2250B3"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33</w:t>
            </w:r>
            <w:r>
              <w:rPr>
                <w:rFonts w:ascii="Arial" w:hAnsi="Arial" w:cs="Arial"/>
                <w:sz w:val="18"/>
                <w:szCs w:val="18"/>
                <w:lang w:val="en-GB"/>
              </w:rPr>
              <w:t>.</w:t>
            </w:r>
            <w:r w:rsidRPr="00853582">
              <w:rPr>
                <w:rFonts w:ascii="Arial" w:hAnsi="Arial" w:cs="Arial"/>
                <w:sz w:val="18"/>
                <w:szCs w:val="18"/>
                <w:lang w:val="en-GB"/>
              </w:rPr>
              <w:t>5 %</w:t>
            </w:r>
          </w:p>
        </w:tc>
      </w:tr>
      <w:tr w:rsidR="00853582" w:rsidRPr="00853582" w14:paraId="21017302" w14:textId="77777777" w:rsidTr="00D407C8">
        <w:trPr>
          <w:trHeight w:val="284"/>
        </w:trPr>
        <w:tc>
          <w:tcPr>
            <w:tcW w:w="4361" w:type="dxa"/>
            <w:vAlign w:val="center"/>
          </w:tcPr>
          <w:p w14:paraId="050BBCA9" w14:textId="3BFFEFE4" w:rsidR="00853582" w:rsidRPr="00D61CCE" w:rsidRDefault="00853582" w:rsidP="00853582">
            <w:pPr>
              <w:tabs>
                <w:tab w:val="left" w:pos="8505"/>
              </w:tabs>
              <w:rPr>
                <w:rFonts w:ascii="Arial" w:hAnsi="Arial" w:cs="Arial"/>
                <w:sz w:val="18"/>
                <w:szCs w:val="18"/>
                <w:lang w:val="en-GB"/>
              </w:rPr>
            </w:pPr>
            <w:r w:rsidRPr="00D61CCE">
              <w:rPr>
                <w:rFonts w:ascii="Arial" w:hAnsi="Arial"/>
                <w:sz w:val="18"/>
                <w:lang w:val="en-GB"/>
              </w:rPr>
              <w:t>Employees (as at 31 Dec.)</w:t>
            </w:r>
          </w:p>
        </w:tc>
        <w:tc>
          <w:tcPr>
            <w:tcW w:w="1181" w:type="dxa"/>
            <w:vAlign w:val="center"/>
          </w:tcPr>
          <w:p w14:paraId="7F2EE997" w14:textId="1256AD30"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86</w:t>
            </w:r>
            <w:r>
              <w:rPr>
                <w:rFonts w:ascii="Arial" w:hAnsi="Arial" w:cs="Arial"/>
                <w:sz w:val="18"/>
                <w:szCs w:val="18"/>
                <w:lang w:val="en-GB"/>
              </w:rPr>
              <w:t>,</w:t>
            </w:r>
            <w:r w:rsidRPr="00853582">
              <w:rPr>
                <w:rFonts w:ascii="Arial" w:hAnsi="Arial" w:cs="Arial"/>
                <w:sz w:val="18"/>
                <w:szCs w:val="18"/>
                <w:lang w:val="en-GB"/>
              </w:rPr>
              <w:t>340</w:t>
            </w:r>
          </w:p>
        </w:tc>
        <w:tc>
          <w:tcPr>
            <w:tcW w:w="1181" w:type="dxa"/>
            <w:vAlign w:val="center"/>
          </w:tcPr>
          <w:p w14:paraId="675695F3" w14:textId="759F04BA"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79</w:t>
            </w:r>
            <w:r>
              <w:rPr>
                <w:rFonts w:ascii="Arial" w:hAnsi="Arial" w:cs="Arial"/>
                <w:sz w:val="18"/>
                <w:szCs w:val="18"/>
                <w:lang w:val="en-GB"/>
              </w:rPr>
              <w:t>,</w:t>
            </w:r>
            <w:r w:rsidRPr="00853582">
              <w:rPr>
                <w:rFonts w:ascii="Arial" w:hAnsi="Arial" w:cs="Arial"/>
                <w:sz w:val="18"/>
                <w:szCs w:val="18"/>
                <w:lang w:val="en-GB"/>
              </w:rPr>
              <w:t>037</w:t>
            </w:r>
          </w:p>
        </w:tc>
        <w:tc>
          <w:tcPr>
            <w:tcW w:w="1182" w:type="dxa"/>
            <w:vAlign w:val="center"/>
          </w:tcPr>
          <w:p w14:paraId="3B9011A3" w14:textId="23F75B1E" w:rsidR="00853582" w:rsidRPr="00D61CCE" w:rsidRDefault="00853582" w:rsidP="00853582">
            <w:pPr>
              <w:tabs>
                <w:tab w:val="left" w:pos="8505"/>
              </w:tabs>
              <w:rPr>
                <w:rFonts w:ascii="Arial" w:hAnsi="Arial" w:cs="Arial"/>
                <w:sz w:val="18"/>
                <w:szCs w:val="18"/>
                <w:lang w:val="en-GB"/>
              </w:rPr>
            </w:pPr>
            <w:r w:rsidRPr="00853582">
              <w:rPr>
                <w:rFonts w:ascii="Arial" w:hAnsi="Arial" w:cs="Arial"/>
                <w:sz w:val="18"/>
                <w:szCs w:val="18"/>
                <w:lang w:val="en-GB"/>
              </w:rPr>
              <w:t>9</w:t>
            </w:r>
            <w:r>
              <w:rPr>
                <w:rFonts w:ascii="Arial" w:hAnsi="Arial" w:cs="Arial"/>
                <w:sz w:val="18"/>
                <w:szCs w:val="18"/>
                <w:lang w:val="en-GB"/>
              </w:rPr>
              <w:t>.</w:t>
            </w:r>
            <w:r w:rsidRPr="00853582">
              <w:rPr>
                <w:rFonts w:ascii="Arial" w:hAnsi="Arial" w:cs="Arial"/>
                <w:sz w:val="18"/>
                <w:szCs w:val="18"/>
                <w:lang w:val="en-GB"/>
              </w:rPr>
              <w:t>2 %</w:t>
            </w:r>
          </w:p>
        </w:tc>
      </w:tr>
    </w:tbl>
    <w:p w14:paraId="4FA5D091" w14:textId="77777777" w:rsidR="006678E0" w:rsidRPr="00D61CCE" w:rsidRDefault="006678E0" w:rsidP="006678E0">
      <w:pPr>
        <w:autoSpaceDE w:val="0"/>
        <w:autoSpaceDN w:val="0"/>
        <w:adjustRightInd w:val="0"/>
        <w:ind w:left="360" w:right="1854"/>
        <w:rPr>
          <w:rFonts w:ascii="Arial" w:hAnsi="Arial" w:cs="Arial"/>
          <w:i/>
          <w:sz w:val="16"/>
          <w:szCs w:val="16"/>
          <w:lang w:val="en-GB"/>
        </w:rPr>
      </w:pPr>
    </w:p>
    <w:p w14:paraId="53ACC1B2" w14:textId="17521EAF" w:rsidR="001706DC" w:rsidRPr="00853582" w:rsidRDefault="001706DC" w:rsidP="00D407C8">
      <w:pPr>
        <w:pStyle w:val="Listenabsatz"/>
        <w:numPr>
          <w:ilvl w:val="0"/>
          <w:numId w:val="3"/>
        </w:numPr>
        <w:autoSpaceDE w:val="0"/>
        <w:autoSpaceDN w:val="0"/>
        <w:adjustRightInd w:val="0"/>
        <w:ind w:right="1711"/>
        <w:rPr>
          <w:rFonts w:ascii="Arial" w:hAnsi="Arial"/>
          <w:i/>
          <w:sz w:val="16"/>
          <w:lang w:val="en-GB"/>
        </w:rPr>
      </w:pPr>
      <w:r w:rsidRPr="00D61CCE">
        <w:rPr>
          <w:rFonts w:ascii="Arial" w:hAnsi="Arial"/>
          <w:i/>
          <w:sz w:val="16"/>
          <w:lang w:val="en-GB"/>
        </w:rPr>
        <w:t>Earnings adjusted for the impact of revaluation as part of allocating the prices of the major acquisitions, restructuring, capital gains on the disposal of businesses and income from business combinations including related derivative</w:t>
      </w:r>
      <w:r w:rsidRPr="00853582">
        <w:rPr>
          <w:rFonts w:ascii="Arial" w:hAnsi="Arial"/>
          <w:i/>
          <w:sz w:val="16"/>
          <w:lang w:val="en-GB"/>
        </w:rPr>
        <w:t>s</w:t>
      </w:r>
      <w:r w:rsidR="00D407C8" w:rsidRPr="00853582">
        <w:rPr>
          <w:rFonts w:ascii="Arial" w:hAnsi="Arial"/>
          <w:i/>
          <w:sz w:val="16"/>
          <w:lang w:val="en-GB"/>
        </w:rPr>
        <w:t xml:space="preserve"> as well as the charges due to the fraud case</w:t>
      </w:r>
    </w:p>
    <w:p w14:paraId="446FEA21" w14:textId="196AEE3F" w:rsidR="00853582" w:rsidRPr="00853582" w:rsidRDefault="00853582" w:rsidP="00853582">
      <w:pPr>
        <w:pStyle w:val="Listenabsatz"/>
        <w:numPr>
          <w:ilvl w:val="0"/>
          <w:numId w:val="3"/>
        </w:numPr>
        <w:autoSpaceDE w:val="0"/>
        <w:autoSpaceDN w:val="0"/>
        <w:adjustRightInd w:val="0"/>
        <w:ind w:right="1711"/>
        <w:rPr>
          <w:rFonts w:ascii="Arial" w:hAnsi="Arial"/>
          <w:i/>
          <w:sz w:val="16"/>
          <w:lang w:val="en-GB"/>
        </w:rPr>
      </w:pPr>
      <w:r w:rsidRPr="00853582">
        <w:rPr>
          <w:rFonts w:ascii="Arial" w:hAnsi="Arial"/>
          <w:i/>
          <w:sz w:val="16"/>
          <w:lang w:val="en-GB"/>
        </w:rPr>
        <w:t>Prior-year figures adjusted</w:t>
      </w:r>
    </w:p>
    <w:p w14:paraId="3E4A7119" w14:textId="71D271BD" w:rsidR="006678E0" w:rsidRPr="00D61CCE" w:rsidRDefault="001706DC" w:rsidP="00D407C8">
      <w:pPr>
        <w:pStyle w:val="Listenabsatz"/>
        <w:autoSpaceDE w:val="0"/>
        <w:autoSpaceDN w:val="0"/>
        <w:adjustRightInd w:val="0"/>
        <w:ind w:left="284" w:right="1711"/>
        <w:rPr>
          <w:rFonts w:ascii="Arial" w:hAnsi="Arial"/>
          <w:i/>
          <w:sz w:val="16"/>
          <w:lang w:val="en-GB"/>
        </w:rPr>
      </w:pPr>
      <w:r w:rsidRPr="00D61CCE">
        <w:rPr>
          <w:rFonts w:ascii="Arial" w:hAnsi="Arial"/>
          <w:i/>
          <w:sz w:val="16"/>
          <w:lang w:val="en-GB"/>
        </w:rPr>
        <w:br/>
      </w:r>
    </w:p>
    <w:p w14:paraId="12DF7F9D" w14:textId="40B15C19" w:rsidR="00A52F7C" w:rsidRPr="00D61CCE" w:rsidRDefault="001706DC" w:rsidP="00D61CCE">
      <w:pPr>
        <w:ind w:right="1922"/>
        <w:rPr>
          <w:rFonts w:ascii="Arial" w:hAnsi="Arial" w:cs="Arial"/>
          <w:i/>
          <w:sz w:val="22"/>
          <w:szCs w:val="22"/>
          <w:lang w:val="en-GB"/>
        </w:rPr>
      </w:pPr>
      <w:r w:rsidRPr="00D61CCE">
        <w:rPr>
          <w:rFonts w:ascii="Arial" w:hAnsi="Arial"/>
          <w:sz w:val="36"/>
          <w:szCs w:val="36"/>
          <w:lang w:val="en-GB"/>
        </w:rPr>
        <w:sym w:font="Wingdings" w:char="F046"/>
      </w:r>
      <w:r w:rsidRPr="00D61CCE">
        <w:rPr>
          <w:rFonts w:ascii="Arial" w:hAnsi="Arial"/>
          <w:i/>
          <w:sz w:val="20"/>
          <w:lang w:val="en-GB"/>
        </w:rPr>
        <w:t xml:space="preserve"> </w:t>
      </w:r>
      <w:r w:rsidRPr="00D61CCE">
        <w:rPr>
          <w:rFonts w:ascii="Arial" w:hAnsi="Arial"/>
          <w:i/>
          <w:sz w:val="22"/>
          <w:szCs w:val="22"/>
          <w:lang w:val="en-GB"/>
        </w:rPr>
        <w:t xml:space="preserve">Related illustration material and further information can be downloaded </w:t>
      </w:r>
      <w:r w:rsidRPr="00D61CCE">
        <w:rPr>
          <w:rFonts w:ascii="Arial" w:hAnsi="Arial" w:cs="Arial"/>
          <w:i/>
          <w:sz w:val="22"/>
          <w:szCs w:val="22"/>
          <w:lang w:val="en-GB"/>
        </w:rPr>
        <w:t xml:space="preserve">next to this release at </w:t>
      </w:r>
      <w:hyperlink r:id="rId8" w:history="1">
        <w:r w:rsidR="00853582" w:rsidRPr="0088149F">
          <w:rPr>
            <w:rStyle w:val="Hyperlink"/>
            <w:rFonts w:ascii="Arial" w:hAnsi="Arial" w:cs="Arial"/>
            <w:i/>
            <w:sz w:val="22"/>
            <w:szCs w:val="22"/>
            <w:lang w:val="en-GB"/>
          </w:rPr>
          <w:t>www.leoni.com/en/press/releases/details/following-on-from-a-successful-2017-leoni-sets-course-for-sustained-profitable-growth/</w:t>
        </w:r>
      </w:hyperlink>
      <w:r w:rsidRPr="00D61CCE">
        <w:rPr>
          <w:rFonts w:ascii="Arial" w:hAnsi="Arial"/>
          <w:i/>
          <w:sz w:val="21"/>
          <w:lang w:val="en-GB"/>
        </w:rPr>
        <w:t xml:space="preserve"> </w:t>
      </w:r>
      <w:r w:rsidRPr="00D61CCE">
        <w:rPr>
          <w:rFonts w:ascii="Arial" w:hAnsi="Arial"/>
          <w:i/>
          <w:sz w:val="21"/>
          <w:lang w:val="en-GB"/>
        </w:rPr>
        <w:br/>
      </w:r>
      <w:r w:rsidRPr="00D61CCE">
        <w:rPr>
          <w:rFonts w:ascii="Arial" w:hAnsi="Arial"/>
          <w:sz w:val="36"/>
          <w:szCs w:val="36"/>
          <w:lang w:val="en-GB"/>
        </w:rPr>
        <w:sym w:font="Wingdings" w:char="F046"/>
      </w:r>
      <w:r w:rsidRPr="00D61CCE">
        <w:rPr>
          <w:rFonts w:ascii="Arial" w:hAnsi="Arial"/>
          <w:i/>
          <w:sz w:val="20"/>
          <w:lang w:val="en-GB"/>
        </w:rPr>
        <w:t xml:space="preserve"> </w:t>
      </w:r>
      <w:r w:rsidRPr="00D61CCE">
        <w:rPr>
          <w:rFonts w:ascii="Arial" w:hAnsi="Arial"/>
          <w:i/>
          <w:sz w:val="22"/>
          <w:szCs w:val="22"/>
          <w:lang w:val="en-GB"/>
        </w:rPr>
        <w:t xml:space="preserve">The complete annual report can be downloaded from </w:t>
      </w:r>
      <w:hyperlink r:id="rId9" w:history="1">
        <w:r w:rsidRPr="00D61CCE">
          <w:rPr>
            <w:rStyle w:val="Hyperlink"/>
            <w:rFonts w:ascii="Arial" w:hAnsi="Arial" w:cs="Arial"/>
            <w:i/>
            <w:sz w:val="22"/>
            <w:szCs w:val="22"/>
            <w:lang w:val="en-GB"/>
          </w:rPr>
          <w:t>www.leoni.com/en/financial-publications/</w:t>
        </w:r>
      </w:hyperlink>
    </w:p>
    <w:p w14:paraId="7266ABB7" w14:textId="7ECCD39F" w:rsidR="001706DC" w:rsidRPr="00D61CCE" w:rsidRDefault="001706DC" w:rsidP="001706DC">
      <w:pPr>
        <w:pStyle w:val="MMKurzprofilberschrift"/>
        <w:rPr>
          <w:lang w:val="en-GB"/>
        </w:rPr>
      </w:pPr>
      <w:r w:rsidRPr="00D61CCE">
        <w:rPr>
          <w:lang w:val="en-GB"/>
        </w:rPr>
        <w:t>About the Leoni Group</w:t>
      </w:r>
    </w:p>
    <w:p w14:paraId="237BAFF2" w14:textId="77777777" w:rsidR="008D5BBF" w:rsidRPr="00863E00" w:rsidRDefault="008D5BBF" w:rsidP="008D5BBF">
      <w:pPr>
        <w:pStyle w:val="MMKurzprofil"/>
        <w:rPr>
          <w:lang w:val="en-GB"/>
        </w:rPr>
      </w:pPr>
      <w:r w:rsidRPr="008D5BBF">
        <w:rPr>
          <w:lang w:val="en-GB"/>
        </w:rPr>
        <w:t>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systems expertise. The</w:t>
      </w:r>
      <w:r w:rsidRPr="00C85271">
        <w:rPr>
          <w:lang w:val="en-GB"/>
        </w:rPr>
        <w:t xml:space="preserve"> group of companies, which is listed on the German MDAX, employs </w:t>
      </w:r>
      <w:r>
        <w:rPr>
          <w:lang w:val="en-GB"/>
        </w:rPr>
        <w:t xml:space="preserve">more than </w:t>
      </w:r>
      <w:r>
        <w:rPr>
          <w:lang w:val="en-US"/>
        </w:rPr>
        <w:t>86</w:t>
      </w:r>
      <w:r w:rsidRPr="00496D4E">
        <w:rPr>
          <w:lang w:val="en-US"/>
        </w:rPr>
        <w:t>,000 people in 3</w:t>
      </w:r>
      <w:r>
        <w:rPr>
          <w:lang w:val="en-US"/>
        </w:rPr>
        <w:t>1</w:t>
      </w:r>
      <w:r w:rsidRPr="00496D4E">
        <w:rPr>
          <w:lang w:val="en-US"/>
        </w:rPr>
        <w:t xml:space="preserve"> countries and generated consolidated sales of EUR 4.</w:t>
      </w:r>
      <w:r>
        <w:rPr>
          <w:lang w:val="en-US"/>
        </w:rPr>
        <w:t>9</w:t>
      </w:r>
      <w:r w:rsidRPr="00496D4E">
        <w:rPr>
          <w:lang w:val="en-US"/>
        </w:rPr>
        <w:t xml:space="preserve"> billion in 201</w:t>
      </w:r>
      <w:r>
        <w:rPr>
          <w:lang w:val="en-US"/>
        </w:rPr>
        <w:t>7.</w:t>
      </w:r>
      <w:r w:rsidRPr="00325AAA">
        <w:rPr>
          <w:lang w:val="en-GB"/>
        </w:rPr>
        <w:t xml:space="preserve"> </w:t>
      </w:r>
    </w:p>
    <w:p w14:paraId="5B1993D4" w14:textId="77777777" w:rsidR="008D5BBF" w:rsidRPr="00863E00" w:rsidRDefault="008D5BBF" w:rsidP="008D5BBF">
      <w:pPr>
        <w:pStyle w:val="MMKurzprofil"/>
        <w:rPr>
          <w:sz w:val="8"/>
          <w:szCs w:val="8"/>
          <w:lang w:val="en-GB"/>
        </w:rPr>
      </w:pPr>
    </w:p>
    <w:p w14:paraId="7F491FB4" w14:textId="29B1B1C9" w:rsidR="008D5BBF" w:rsidRPr="00C43033" w:rsidRDefault="008D5BBF" w:rsidP="008D5BBF">
      <w:pPr>
        <w:pStyle w:val="MMKurzprofil"/>
        <w:rPr>
          <w:lang w:val="en-US"/>
        </w:rPr>
      </w:pPr>
      <w:r>
        <w:rPr>
          <w:noProof/>
        </w:rPr>
        <w:drawing>
          <wp:inline distT="0" distB="0" distL="0" distR="0" wp14:anchorId="3D111B5D" wp14:editId="7EE81D1C">
            <wp:extent cx="184150" cy="184150"/>
            <wp:effectExtent l="0" t="0" r="6350" b="635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63E00">
        <w:rPr>
          <w:noProof/>
          <w:lang w:val="en-GB"/>
        </w:rPr>
        <w:t xml:space="preserve"> </w:t>
      </w:r>
      <w:r>
        <w:rPr>
          <w:noProof/>
        </w:rPr>
        <w:drawing>
          <wp:inline distT="0" distB="0" distL="0" distR="0" wp14:anchorId="545385D1" wp14:editId="3BDB05A9">
            <wp:extent cx="184150" cy="184150"/>
            <wp:effectExtent l="0" t="0" r="6350" b="6350"/>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noProof/>
          <w:lang w:val="en-GB"/>
        </w:rPr>
        <w:t xml:space="preserve"> </w:t>
      </w:r>
      <w:r>
        <w:rPr>
          <w:noProof/>
        </w:rPr>
        <w:drawing>
          <wp:inline distT="0" distB="0" distL="0" distR="0" wp14:anchorId="23418442" wp14:editId="7A35DBD5">
            <wp:extent cx="184150" cy="184150"/>
            <wp:effectExtent l="0" t="0" r="6350" b="635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70B8E726" w14:textId="77777777" w:rsidR="008D5BBF" w:rsidRPr="00F8750F" w:rsidRDefault="008D5BBF" w:rsidP="008D5BBF">
      <w:pPr>
        <w:pStyle w:val="MMKurzprofilberschrift"/>
        <w:tabs>
          <w:tab w:val="left" w:pos="3969"/>
        </w:tabs>
        <w:rPr>
          <w:rFonts w:cs="Times New Roman"/>
          <w:szCs w:val="24"/>
          <w:lang w:val="en-GB"/>
        </w:rPr>
      </w:pPr>
      <w:r w:rsidRPr="00F8750F">
        <w:rPr>
          <w:rFonts w:cs="Times New Roman"/>
          <w:szCs w:val="24"/>
          <w:lang w:val="en-GB"/>
        </w:rPr>
        <w:t>Contact for journalists</w:t>
      </w:r>
      <w:r w:rsidRPr="00F8750F">
        <w:rPr>
          <w:rFonts w:cs="Times New Roman"/>
          <w:szCs w:val="24"/>
          <w:lang w:val="en-GB"/>
        </w:rPr>
        <w:tab/>
        <w:t>Contact for analysts and investors</w:t>
      </w:r>
    </w:p>
    <w:p w14:paraId="00888855" w14:textId="77777777" w:rsidR="008D5BBF" w:rsidRPr="002B438A" w:rsidRDefault="008D5BBF" w:rsidP="008D5BBF">
      <w:pPr>
        <w:pStyle w:val="MMKurzprofil"/>
        <w:tabs>
          <w:tab w:val="left" w:pos="3969"/>
        </w:tabs>
        <w:rPr>
          <w:szCs w:val="24"/>
          <w:lang w:val="en-US"/>
        </w:rPr>
      </w:pPr>
      <w:r w:rsidRPr="002B438A">
        <w:rPr>
          <w:szCs w:val="24"/>
          <w:lang w:val="en-US"/>
        </w:rPr>
        <w:t xml:space="preserve">Sven Schmidt  </w:t>
      </w:r>
      <w:r w:rsidRPr="002B438A">
        <w:rPr>
          <w:szCs w:val="24"/>
          <w:lang w:val="en-US"/>
        </w:rPr>
        <w:tab/>
        <w:t>Frank Steinhart</w:t>
      </w:r>
    </w:p>
    <w:p w14:paraId="10E2CB2C" w14:textId="77777777" w:rsidR="008D5BBF" w:rsidRPr="002B438A" w:rsidRDefault="008D5BBF" w:rsidP="008D5BBF">
      <w:pPr>
        <w:pStyle w:val="MMKurzprofil"/>
        <w:tabs>
          <w:tab w:val="left" w:pos="3969"/>
        </w:tabs>
        <w:rPr>
          <w:szCs w:val="24"/>
          <w:lang w:val="en-US"/>
        </w:rPr>
      </w:pPr>
      <w:r w:rsidRPr="008C626D">
        <w:rPr>
          <w:lang w:val="en-GB"/>
        </w:rPr>
        <w:t>Corporate Public &amp; Media Relations</w:t>
      </w:r>
      <w:r w:rsidRPr="002B438A">
        <w:rPr>
          <w:szCs w:val="24"/>
          <w:lang w:val="en-US"/>
        </w:rPr>
        <w:tab/>
        <w:t>Corporate Investor Relations</w:t>
      </w:r>
    </w:p>
    <w:p w14:paraId="6799037E" w14:textId="77777777" w:rsidR="008D5BBF" w:rsidRPr="002B438A" w:rsidRDefault="008D5BBF" w:rsidP="008D5BBF">
      <w:pPr>
        <w:pStyle w:val="MMKurzprofil"/>
        <w:tabs>
          <w:tab w:val="clear" w:pos="8505"/>
          <w:tab w:val="left" w:pos="851"/>
          <w:tab w:val="left" w:pos="3969"/>
        </w:tabs>
        <w:rPr>
          <w:szCs w:val="24"/>
          <w:lang w:val="en-US"/>
        </w:rPr>
      </w:pPr>
      <w:r w:rsidRPr="002B438A">
        <w:rPr>
          <w:szCs w:val="24"/>
          <w:lang w:val="en-US"/>
        </w:rPr>
        <w:t>Phone</w:t>
      </w:r>
      <w:r w:rsidRPr="002B438A">
        <w:rPr>
          <w:szCs w:val="24"/>
          <w:lang w:val="en-US"/>
        </w:rPr>
        <w:tab/>
        <w:t>+49 (0)911-2023-467</w:t>
      </w:r>
      <w:r w:rsidRPr="002B438A">
        <w:rPr>
          <w:szCs w:val="24"/>
          <w:lang w:val="en-US"/>
        </w:rPr>
        <w:tab/>
        <w:t>Phone</w:t>
      </w:r>
      <w:r w:rsidRPr="002B438A">
        <w:rPr>
          <w:szCs w:val="24"/>
          <w:lang w:val="en-US"/>
        </w:rPr>
        <w:tab/>
        <w:t>+49 (0)911-2023-203</w:t>
      </w:r>
    </w:p>
    <w:p w14:paraId="7427DA11" w14:textId="77777777" w:rsidR="008D5BBF" w:rsidRPr="002B438A" w:rsidRDefault="008D5BBF" w:rsidP="008D5BBF">
      <w:pPr>
        <w:pStyle w:val="MMKurzprofil"/>
        <w:tabs>
          <w:tab w:val="clear" w:pos="8505"/>
          <w:tab w:val="left" w:pos="851"/>
          <w:tab w:val="left" w:pos="3969"/>
        </w:tabs>
        <w:rPr>
          <w:szCs w:val="24"/>
          <w:lang w:val="en-US"/>
        </w:rPr>
      </w:pPr>
      <w:r w:rsidRPr="002B438A">
        <w:rPr>
          <w:szCs w:val="24"/>
          <w:lang w:val="en-US"/>
        </w:rPr>
        <w:t>Fax</w:t>
      </w:r>
      <w:r w:rsidRPr="002B438A">
        <w:rPr>
          <w:szCs w:val="24"/>
          <w:lang w:val="en-US"/>
        </w:rPr>
        <w:tab/>
        <w:t>+49 (0)911-2023-231</w:t>
      </w:r>
      <w:r w:rsidRPr="002B438A">
        <w:rPr>
          <w:szCs w:val="24"/>
          <w:lang w:val="en-US"/>
        </w:rPr>
        <w:tab/>
        <w:t>Fax</w:t>
      </w:r>
      <w:r w:rsidRPr="002B438A">
        <w:rPr>
          <w:szCs w:val="24"/>
          <w:lang w:val="en-US"/>
        </w:rPr>
        <w:tab/>
        <w:t>+49 (0)911-2023-10203</w:t>
      </w:r>
    </w:p>
    <w:p w14:paraId="5463915E" w14:textId="332C0521" w:rsidR="001706DC" w:rsidRPr="008D5BBF" w:rsidRDefault="008D5BBF" w:rsidP="008D5BBF">
      <w:pPr>
        <w:pStyle w:val="MMKurzprofil"/>
        <w:tabs>
          <w:tab w:val="clear" w:pos="8505"/>
          <w:tab w:val="left" w:pos="851"/>
          <w:tab w:val="left" w:pos="3969"/>
        </w:tabs>
        <w:rPr>
          <w:rStyle w:val="Hyperlink"/>
          <w:color w:val="000000"/>
          <w:szCs w:val="24"/>
          <w:u w:val="none"/>
          <w:lang w:val="en-US"/>
        </w:rPr>
      </w:pPr>
      <w:r w:rsidRPr="002B438A">
        <w:rPr>
          <w:szCs w:val="24"/>
          <w:lang w:val="en-US"/>
        </w:rPr>
        <w:t>E-mail</w:t>
      </w:r>
      <w:r w:rsidRPr="002B438A">
        <w:rPr>
          <w:szCs w:val="24"/>
          <w:lang w:val="en-US"/>
        </w:rPr>
        <w:tab/>
      </w:r>
      <w:hyperlink r:id="rId16" w:history="1">
        <w:r w:rsidRPr="002B438A">
          <w:rPr>
            <w:rStyle w:val="Hyperlink"/>
            <w:szCs w:val="24"/>
            <w:lang w:val="en-US"/>
          </w:rPr>
          <w:t>presse@leoni.com</w:t>
        </w:r>
      </w:hyperlink>
      <w:r w:rsidRPr="002B438A">
        <w:rPr>
          <w:szCs w:val="24"/>
          <w:lang w:val="en-US"/>
        </w:rPr>
        <w:t xml:space="preserve"> </w:t>
      </w:r>
      <w:r w:rsidRPr="002B438A">
        <w:rPr>
          <w:szCs w:val="24"/>
          <w:lang w:val="en-US"/>
        </w:rPr>
        <w:tab/>
        <w:t>E-mail</w:t>
      </w:r>
      <w:r w:rsidRPr="002B438A">
        <w:rPr>
          <w:szCs w:val="24"/>
          <w:lang w:val="en-US"/>
        </w:rPr>
        <w:tab/>
      </w:r>
      <w:hyperlink r:id="rId17" w:history="1">
        <w:r w:rsidRPr="002B438A">
          <w:rPr>
            <w:rStyle w:val="Hyperlink"/>
            <w:szCs w:val="24"/>
            <w:lang w:val="en-US"/>
          </w:rPr>
          <w:t>invest@leoni.com</w:t>
        </w:r>
      </w:hyperlink>
    </w:p>
    <w:sectPr w:rsidR="001706DC" w:rsidRPr="008D5BBF" w:rsidSect="009B6801">
      <w:headerReference w:type="default" r:id="rId18"/>
      <w:footerReference w:type="default" r:id="rId19"/>
      <w:headerReference w:type="first" r:id="rId20"/>
      <w:footerReference w:type="first" r:id="rId21"/>
      <w:pgSz w:w="11900" w:h="16840" w:code="9"/>
      <w:pgMar w:top="2977" w:right="833" w:bottom="1701" w:left="1418" w:header="0" w:footer="4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98D5" w14:textId="77777777" w:rsidR="00BC62DE" w:rsidRPr="00A44C71" w:rsidRDefault="00BC62DE">
      <w:pPr>
        <w:rPr>
          <w:sz w:val="16"/>
        </w:rPr>
      </w:pPr>
      <w:r>
        <w:separator/>
      </w:r>
    </w:p>
  </w:endnote>
  <w:endnote w:type="continuationSeparator" w:id="0">
    <w:p w14:paraId="6F2D8FD7" w14:textId="77777777" w:rsidR="00BC62DE" w:rsidRPr="00A44C71" w:rsidRDefault="00BC62D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7C7B" w14:textId="5C0A01F3" w:rsidR="00BC62DE" w:rsidRPr="009A05EE" w:rsidRDefault="001706DC"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cs="Arial"/>
        <w:i/>
        <w:sz w:val="16"/>
        <w:szCs w:val="16"/>
      </w:rPr>
      <w:t>page</w:t>
    </w:r>
    <w:r w:rsidR="00BC62DE" w:rsidRPr="009A05EE">
      <w:rPr>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PAGE </w:instrText>
    </w:r>
    <w:r w:rsidR="00BC62DE" w:rsidRPr="009A05EE">
      <w:rPr>
        <w:rStyle w:val="Seitenzahl"/>
        <w:rFonts w:ascii="Arial" w:hAnsi="Arial" w:cs="Arial"/>
        <w:i/>
        <w:sz w:val="16"/>
        <w:szCs w:val="16"/>
      </w:rPr>
      <w:fldChar w:fldCharType="separate"/>
    </w:r>
    <w:r w:rsidR="0002538E">
      <w:rPr>
        <w:rStyle w:val="Seitenzahl"/>
        <w:rFonts w:ascii="Arial" w:hAnsi="Arial" w:cs="Arial"/>
        <w:i/>
        <w:noProof/>
        <w:sz w:val="16"/>
        <w:szCs w:val="16"/>
      </w:rPr>
      <w:t>1</w:t>
    </w:r>
    <w:r w:rsidR="00BC62DE" w:rsidRPr="009A05EE">
      <w:rPr>
        <w:rStyle w:val="Seitenzahl"/>
        <w:rFonts w:ascii="Arial" w:hAnsi="Arial" w:cs="Arial"/>
        <w:i/>
        <w:sz w:val="16"/>
        <w:szCs w:val="16"/>
      </w:rPr>
      <w:fldChar w:fldCharType="end"/>
    </w:r>
    <w:r w:rsidR="00BC62DE" w:rsidRPr="009A05EE">
      <w:rPr>
        <w:rStyle w:val="Seitenzahl"/>
        <w:rFonts w:ascii="Arial" w:hAnsi="Arial" w:cs="Arial"/>
        <w:i/>
        <w:sz w:val="16"/>
        <w:szCs w:val="16"/>
      </w:rPr>
      <w:t xml:space="preserve"> o</w:t>
    </w:r>
    <w:r>
      <w:rPr>
        <w:rStyle w:val="Seitenzahl"/>
        <w:rFonts w:ascii="Arial" w:hAnsi="Arial" w:cs="Arial"/>
        <w:i/>
        <w:sz w:val="16"/>
        <w:szCs w:val="16"/>
      </w:rPr>
      <w:t>f</w:t>
    </w:r>
    <w:r w:rsidR="00BC62DE" w:rsidRPr="009A05EE">
      <w:rPr>
        <w:rStyle w:val="Seitenzahl"/>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NUMPAGES </w:instrText>
    </w:r>
    <w:r w:rsidR="00BC62DE" w:rsidRPr="009A05EE">
      <w:rPr>
        <w:rStyle w:val="Seitenzahl"/>
        <w:rFonts w:ascii="Arial" w:hAnsi="Arial" w:cs="Arial"/>
        <w:i/>
        <w:sz w:val="16"/>
        <w:szCs w:val="16"/>
      </w:rPr>
      <w:fldChar w:fldCharType="separate"/>
    </w:r>
    <w:r w:rsidR="0002538E">
      <w:rPr>
        <w:rStyle w:val="Seitenzahl"/>
        <w:rFonts w:ascii="Arial" w:hAnsi="Arial" w:cs="Arial"/>
        <w:i/>
        <w:noProof/>
        <w:sz w:val="16"/>
        <w:szCs w:val="16"/>
      </w:rPr>
      <w:t>4</w:t>
    </w:r>
    <w:r w:rsidR="00BC62DE" w:rsidRPr="009A05EE">
      <w:rPr>
        <w:rStyle w:val="Seitenzahl"/>
        <w:rFonts w:ascii="Arial" w:hAnsi="Arial" w:cs="Arial"/>
        <w:i/>
        <w:sz w:val="16"/>
        <w:szCs w:val="16"/>
      </w:rPr>
      <w:fldChar w:fldCharType="end"/>
    </w:r>
    <w:r w:rsidR="00BC62DE" w:rsidRPr="009A05EE">
      <w:rPr>
        <w:rFonts w:ascii="Arial" w:hAnsi="Arial" w:cs="Arial"/>
        <w:b/>
        <w:i/>
        <w:color w:val="004089"/>
        <w:sz w:val="12"/>
        <w:szCs w:val="14"/>
      </w:rPr>
      <w:tab/>
    </w:r>
  </w:p>
  <w:p w14:paraId="02AF27DF" w14:textId="77777777" w:rsidR="00BC62DE" w:rsidRPr="009F6805" w:rsidRDefault="00BC62DE"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p w14:paraId="6677DF95" w14:textId="77777777" w:rsidR="00124429" w:rsidRDefault="001244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3CC1" w14:textId="77777777" w:rsidR="00BC62DE" w:rsidRPr="00190924" w:rsidRDefault="00BC62DE" w:rsidP="007E491E">
    <w:pPr>
      <w:pStyle w:val="Fuzeile"/>
      <w:tabs>
        <w:tab w:val="clear" w:pos="4536"/>
        <w:tab w:val="left" w:pos="2879"/>
        <w:tab w:val="left" w:pos="3788"/>
        <w:tab w:val="left" w:pos="5842"/>
        <w:tab w:val="left" w:pos="7729"/>
      </w:tabs>
      <w:spacing w:before="20"/>
    </w:pPr>
  </w:p>
  <w:p w14:paraId="6A537E65" w14:textId="77777777" w:rsidR="00BC62DE" w:rsidRPr="00190924" w:rsidRDefault="00BC62DE"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D6F8" w14:textId="77777777" w:rsidR="00BC62DE" w:rsidRPr="00A44C71" w:rsidRDefault="00BC62DE">
      <w:pPr>
        <w:rPr>
          <w:sz w:val="16"/>
        </w:rPr>
      </w:pPr>
      <w:r>
        <w:separator/>
      </w:r>
    </w:p>
  </w:footnote>
  <w:footnote w:type="continuationSeparator" w:id="0">
    <w:p w14:paraId="6CCBE9DB" w14:textId="77777777" w:rsidR="00BC62DE" w:rsidRPr="00A44C71" w:rsidRDefault="00BC62D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63D7" w14:textId="77777777" w:rsidR="00BC62DE" w:rsidRPr="00F17738" w:rsidRDefault="00BC62DE" w:rsidP="006F0BE8">
    <w:pPr>
      <w:pStyle w:val="Kopfzeile"/>
      <w:tabs>
        <w:tab w:val="clear" w:pos="9072"/>
        <w:tab w:val="right" w:pos="9639"/>
      </w:tabs>
      <w:rPr>
        <w:rFonts w:ascii="Verdana" w:hAnsi="Verdana"/>
        <w:sz w:val="20"/>
      </w:rPr>
    </w:pPr>
  </w:p>
  <w:p w14:paraId="1EDA30A9" w14:textId="77777777" w:rsidR="00BC62DE" w:rsidRPr="00F17738" w:rsidRDefault="00BC62DE" w:rsidP="006F0BE8">
    <w:pPr>
      <w:pStyle w:val="Kopfzeile"/>
      <w:tabs>
        <w:tab w:val="clear" w:pos="9072"/>
        <w:tab w:val="right" w:pos="9639"/>
      </w:tabs>
      <w:rPr>
        <w:rFonts w:ascii="Verdana" w:hAnsi="Verdana"/>
        <w:sz w:val="20"/>
      </w:rPr>
    </w:pPr>
  </w:p>
  <w:p w14:paraId="3389791F" w14:textId="77777777" w:rsidR="00BC62DE" w:rsidRPr="00F17738" w:rsidRDefault="00BC62D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323F072" wp14:editId="64CC0F9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F856CE" w14:textId="77777777" w:rsidR="00BC62DE" w:rsidRDefault="00BC62DE" w:rsidP="006F0BE8">
    <w:pPr>
      <w:spacing w:before="60" w:line="360" w:lineRule="auto"/>
      <w:ind w:right="1429"/>
      <w:rPr>
        <w:rFonts w:ascii="Arial" w:hAnsi="Arial" w:cs="Arial"/>
        <w:b/>
        <w:sz w:val="20"/>
        <w:szCs w:val="20"/>
      </w:rPr>
    </w:pPr>
  </w:p>
  <w:p w14:paraId="4126EDAF" w14:textId="3906C796" w:rsidR="00BC62DE" w:rsidRPr="006D36F9" w:rsidRDefault="00BC62DE" w:rsidP="006F0BE8">
    <w:pPr>
      <w:spacing w:line="360" w:lineRule="auto"/>
      <w:ind w:right="1429"/>
      <w:rPr>
        <w:rFonts w:ascii="Arial" w:hAnsi="Arial" w:cs="Arial"/>
        <w:b/>
        <w:sz w:val="20"/>
        <w:szCs w:val="20"/>
      </w:rPr>
    </w:pPr>
    <w:r>
      <w:rPr>
        <w:rFonts w:ascii="Arial" w:hAnsi="Arial" w:cs="Arial"/>
        <w:b/>
        <w:sz w:val="20"/>
        <w:szCs w:val="20"/>
      </w:rPr>
      <w:t>PRESS</w:t>
    </w:r>
    <w:r w:rsidR="001706DC">
      <w:rPr>
        <w:rFonts w:ascii="Arial" w:hAnsi="Arial" w:cs="Arial"/>
        <w:b/>
        <w:sz w:val="20"/>
        <w:szCs w:val="20"/>
      </w:rPr>
      <w:t xml:space="preserve"> RELEASE</w:t>
    </w:r>
  </w:p>
  <w:p w14:paraId="0D792C0B" w14:textId="77777777" w:rsidR="00BC62DE" w:rsidRPr="00F17738" w:rsidRDefault="00BC62DE" w:rsidP="006F0BE8">
    <w:pPr>
      <w:pStyle w:val="Kopfzeile"/>
      <w:tabs>
        <w:tab w:val="clear" w:pos="9072"/>
        <w:tab w:val="right" w:pos="9639"/>
      </w:tabs>
      <w:rPr>
        <w:rFonts w:ascii="Verdana" w:hAnsi="Verdana"/>
        <w:sz w:val="20"/>
      </w:rPr>
    </w:pPr>
  </w:p>
  <w:p w14:paraId="7C9B50D3" w14:textId="77777777" w:rsidR="00BC62DE" w:rsidRPr="00F17738" w:rsidRDefault="00BC62DE" w:rsidP="006F0BE8">
    <w:pPr>
      <w:pStyle w:val="Kopfzeile"/>
      <w:tabs>
        <w:tab w:val="clear" w:pos="9072"/>
        <w:tab w:val="right" w:pos="9639"/>
      </w:tabs>
      <w:rPr>
        <w:rFonts w:ascii="Verdana" w:hAnsi="Verdana"/>
        <w:sz w:val="20"/>
      </w:rPr>
    </w:pPr>
  </w:p>
  <w:p w14:paraId="6D789CA5" w14:textId="77777777" w:rsidR="00BC62DE" w:rsidRPr="00F17738" w:rsidRDefault="00BC62DE" w:rsidP="006F0BE8">
    <w:pPr>
      <w:pStyle w:val="Kopfzeile"/>
      <w:tabs>
        <w:tab w:val="clear" w:pos="9072"/>
        <w:tab w:val="right" w:pos="9639"/>
      </w:tabs>
      <w:rPr>
        <w:rFonts w:ascii="Verdana" w:hAnsi="Verdana"/>
        <w:sz w:val="20"/>
      </w:rPr>
    </w:pPr>
  </w:p>
  <w:p w14:paraId="471E58A8" w14:textId="77777777" w:rsidR="00BC62DE" w:rsidRPr="006F0BE8" w:rsidRDefault="00BC62DE" w:rsidP="006F0BE8">
    <w:pPr>
      <w:pStyle w:val="Kopfzeile"/>
    </w:pPr>
  </w:p>
  <w:p w14:paraId="545EBB06" w14:textId="77777777" w:rsidR="00124429" w:rsidRDefault="001244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683F" w14:textId="77777777" w:rsidR="00BC62DE" w:rsidRPr="00F17738" w:rsidRDefault="00BC62DE" w:rsidP="008F5F48">
    <w:pPr>
      <w:pStyle w:val="Kopfzeile"/>
      <w:ind w:right="12"/>
      <w:rPr>
        <w:rFonts w:ascii="Verdana" w:hAnsi="Verdana"/>
        <w:sz w:val="20"/>
      </w:rPr>
    </w:pPr>
  </w:p>
  <w:p w14:paraId="25DC23AE" w14:textId="77777777" w:rsidR="00BC62DE" w:rsidRPr="00F17738" w:rsidRDefault="00BC62DE" w:rsidP="008F5F48">
    <w:pPr>
      <w:pStyle w:val="Kopfzeile"/>
      <w:ind w:right="12"/>
      <w:rPr>
        <w:rFonts w:ascii="Verdana" w:hAnsi="Verdana"/>
        <w:sz w:val="20"/>
      </w:rPr>
    </w:pPr>
  </w:p>
  <w:p w14:paraId="095195F8" w14:textId="77777777" w:rsidR="00BC62DE" w:rsidRPr="00F17738" w:rsidRDefault="00BC62DE" w:rsidP="008F5F48">
    <w:pPr>
      <w:pStyle w:val="Kopfzeile"/>
      <w:ind w:right="12"/>
      <w:rPr>
        <w:rFonts w:ascii="Verdana" w:hAnsi="Verdana"/>
        <w:sz w:val="20"/>
      </w:rPr>
    </w:pPr>
  </w:p>
  <w:p w14:paraId="19F2F0B6" w14:textId="77777777" w:rsidR="00BC62DE" w:rsidRPr="00F17738" w:rsidRDefault="00BC62DE" w:rsidP="008F5F48">
    <w:pPr>
      <w:pStyle w:val="Kopfzeile"/>
      <w:ind w:right="12"/>
      <w:rPr>
        <w:rFonts w:ascii="Verdana" w:hAnsi="Verdana"/>
        <w:sz w:val="20"/>
      </w:rPr>
    </w:pPr>
  </w:p>
  <w:p w14:paraId="180930A4" w14:textId="77777777" w:rsidR="00BC62DE" w:rsidRPr="00F17738" w:rsidRDefault="00BC62D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37F0D51" wp14:editId="3C2EA0C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39BB1BC" w14:textId="77777777" w:rsidR="00BC62DE" w:rsidRPr="00F17738" w:rsidRDefault="00BC62DE" w:rsidP="008F5F48">
    <w:pPr>
      <w:pStyle w:val="Kopfzeile"/>
      <w:ind w:right="12"/>
      <w:rPr>
        <w:rFonts w:ascii="Verdana" w:hAnsi="Verdana"/>
        <w:sz w:val="20"/>
      </w:rPr>
    </w:pPr>
  </w:p>
  <w:p w14:paraId="76FE4EF0" w14:textId="77777777" w:rsidR="00BC62DE" w:rsidRPr="00F17738" w:rsidRDefault="00BC62DE" w:rsidP="008F5F48">
    <w:pPr>
      <w:pStyle w:val="Kopfzeile"/>
      <w:ind w:right="12"/>
      <w:rPr>
        <w:rFonts w:ascii="Verdana" w:hAnsi="Verdana"/>
        <w:sz w:val="20"/>
      </w:rPr>
    </w:pPr>
  </w:p>
  <w:p w14:paraId="15273EA2" w14:textId="77777777" w:rsidR="00BC62DE" w:rsidRPr="00F17738" w:rsidRDefault="00BC62DE" w:rsidP="008F5F48">
    <w:pPr>
      <w:pStyle w:val="Kopfzeile"/>
      <w:ind w:right="12"/>
      <w:rPr>
        <w:rFonts w:ascii="Verdana" w:hAnsi="Verdana"/>
        <w:sz w:val="20"/>
      </w:rPr>
    </w:pPr>
  </w:p>
  <w:p w14:paraId="1D9A80A1" w14:textId="77777777" w:rsidR="00BC62DE" w:rsidRPr="00F17738" w:rsidRDefault="00BC62DE" w:rsidP="008F5F48">
    <w:pPr>
      <w:pStyle w:val="Kopfzeile"/>
      <w:ind w:right="12"/>
      <w:rPr>
        <w:rFonts w:ascii="Verdana" w:hAnsi="Verdana"/>
        <w:sz w:val="20"/>
      </w:rPr>
    </w:pPr>
  </w:p>
  <w:p w14:paraId="4B4567AB" w14:textId="77777777" w:rsidR="00BC62DE" w:rsidRPr="00F17738" w:rsidRDefault="00BC62DE" w:rsidP="008F5F48">
    <w:pPr>
      <w:pStyle w:val="Kopfzeile"/>
      <w:ind w:right="12"/>
      <w:rPr>
        <w:rFonts w:ascii="Verdana" w:hAnsi="Verdana"/>
        <w:sz w:val="20"/>
      </w:rPr>
    </w:pPr>
  </w:p>
  <w:p w14:paraId="40A6FA64" w14:textId="77777777" w:rsidR="00BC62DE" w:rsidRPr="00F17738" w:rsidRDefault="00BC62DE"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517A"/>
    <w:multiLevelType w:val="hybridMultilevel"/>
    <w:tmpl w:val="D9146DB2"/>
    <w:lvl w:ilvl="0" w:tplc="C1FA1E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7655CB"/>
    <w:multiLevelType w:val="hybridMultilevel"/>
    <w:tmpl w:val="40C0947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14943"/>
    <w:rsid w:val="00017654"/>
    <w:rsid w:val="0002074B"/>
    <w:rsid w:val="00022E23"/>
    <w:rsid w:val="0002408F"/>
    <w:rsid w:val="0002538E"/>
    <w:rsid w:val="00041721"/>
    <w:rsid w:val="000453F9"/>
    <w:rsid w:val="00054C81"/>
    <w:rsid w:val="00057659"/>
    <w:rsid w:val="000651EC"/>
    <w:rsid w:val="00072F80"/>
    <w:rsid w:val="00087C38"/>
    <w:rsid w:val="000A0822"/>
    <w:rsid w:val="000A14BC"/>
    <w:rsid w:val="000A32BC"/>
    <w:rsid w:val="000A7B89"/>
    <w:rsid w:val="000B3BF8"/>
    <w:rsid w:val="000B5865"/>
    <w:rsid w:val="000C02B1"/>
    <w:rsid w:val="000C33D0"/>
    <w:rsid w:val="000C3DD5"/>
    <w:rsid w:val="000D3FBB"/>
    <w:rsid w:val="000E0BCB"/>
    <w:rsid w:val="000E6946"/>
    <w:rsid w:val="000F2DC6"/>
    <w:rsid w:val="00102158"/>
    <w:rsid w:val="00110484"/>
    <w:rsid w:val="00110527"/>
    <w:rsid w:val="00112EFB"/>
    <w:rsid w:val="00115FC6"/>
    <w:rsid w:val="00123771"/>
    <w:rsid w:val="00123B76"/>
    <w:rsid w:val="00124429"/>
    <w:rsid w:val="00130F82"/>
    <w:rsid w:val="00132B87"/>
    <w:rsid w:val="00134E77"/>
    <w:rsid w:val="001454B6"/>
    <w:rsid w:val="00152D54"/>
    <w:rsid w:val="00157668"/>
    <w:rsid w:val="00157C54"/>
    <w:rsid w:val="001617CD"/>
    <w:rsid w:val="001706DC"/>
    <w:rsid w:val="00172DBF"/>
    <w:rsid w:val="001734DC"/>
    <w:rsid w:val="00184530"/>
    <w:rsid w:val="0018564D"/>
    <w:rsid w:val="00190924"/>
    <w:rsid w:val="00195338"/>
    <w:rsid w:val="001A26F1"/>
    <w:rsid w:val="001B621B"/>
    <w:rsid w:val="001C0CC3"/>
    <w:rsid w:val="001C7543"/>
    <w:rsid w:val="001D1868"/>
    <w:rsid w:val="001D235D"/>
    <w:rsid w:val="001D2CDB"/>
    <w:rsid w:val="00204990"/>
    <w:rsid w:val="00207FC6"/>
    <w:rsid w:val="00211D05"/>
    <w:rsid w:val="00214804"/>
    <w:rsid w:val="00235F52"/>
    <w:rsid w:val="00240866"/>
    <w:rsid w:val="0024264E"/>
    <w:rsid w:val="00245C9E"/>
    <w:rsid w:val="00251591"/>
    <w:rsid w:val="00260A78"/>
    <w:rsid w:val="002630D8"/>
    <w:rsid w:val="00264325"/>
    <w:rsid w:val="0027050A"/>
    <w:rsid w:val="00271877"/>
    <w:rsid w:val="00283A4E"/>
    <w:rsid w:val="002929B6"/>
    <w:rsid w:val="002956A9"/>
    <w:rsid w:val="0029603C"/>
    <w:rsid w:val="002B325C"/>
    <w:rsid w:val="002B59D6"/>
    <w:rsid w:val="002B7AC7"/>
    <w:rsid w:val="002B7BFA"/>
    <w:rsid w:val="002C118D"/>
    <w:rsid w:val="00304A7E"/>
    <w:rsid w:val="003118F1"/>
    <w:rsid w:val="00314F40"/>
    <w:rsid w:val="00320044"/>
    <w:rsid w:val="0032479E"/>
    <w:rsid w:val="00325F19"/>
    <w:rsid w:val="00336F7B"/>
    <w:rsid w:val="00352E66"/>
    <w:rsid w:val="00361728"/>
    <w:rsid w:val="00361CF2"/>
    <w:rsid w:val="00362050"/>
    <w:rsid w:val="00364DCD"/>
    <w:rsid w:val="00382198"/>
    <w:rsid w:val="00397AC4"/>
    <w:rsid w:val="003C6AAE"/>
    <w:rsid w:val="003D2799"/>
    <w:rsid w:val="003D3AA0"/>
    <w:rsid w:val="003E43B4"/>
    <w:rsid w:val="003E4B96"/>
    <w:rsid w:val="003F5FDE"/>
    <w:rsid w:val="003F74D0"/>
    <w:rsid w:val="00404468"/>
    <w:rsid w:val="0040720B"/>
    <w:rsid w:val="004216C5"/>
    <w:rsid w:val="00432245"/>
    <w:rsid w:val="00441012"/>
    <w:rsid w:val="00441963"/>
    <w:rsid w:val="0045071B"/>
    <w:rsid w:val="004547BF"/>
    <w:rsid w:val="004579E1"/>
    <w:rsid w:val="00466073"/>
    <w:rsid w:val="0047104C"/>
    <w:rsid w:val="00473340"/>
    <w:rsid w:val="00473E7D"/>
    <w:rsid w:val="00480076"/>
    <w:rsid w:val="004826F0"/>
    <w:rsid w:val="004A1653"/>
    <w:rsid w:val="004A457B"/>
    <w:rsid w:val="004B0623"/>
    <w:rsid w:val="004B3DB8"/>
    <w:rsid w:val="004B4CC2"/>
    <w:rsid w:val="004B78AC"/>
    <w:rsid w:val="004D2FCB"/>
    <w:rsid w:val="004E29FC"/>
    <w:rsid w:val="004E5849"/>
    <w:rsid w:val="004F038C"/>
    <w:rsid w:val="004F2266"/>
    <w:rsid w:val="004F7079"/>
    <w:rsid w:val="00500004"/>
    <w:rsid w:val="00500B29"/>
    <w:rsid w:val="005072AE"/>
    <w:rsid w:val="00513932"/>
    <w:rsid w:val="00526F46"/>
    <w:rsid w:val="00532C20"/>
    <w:rsid w:val="00533F65"/>
    <w:rsid w:val="005418D3"/>
    <w:rsid w:val="00543C34"/>
    <w:rsid w:val="005448AB"/>
    <w:rsid w:val="00547D6D"/>
    <w:rsid w:val="00566E86"/>
    <w:rsid w:val="0057107B"/>
    <w:rsid w:val="005811BB"/>
    <w:rsid w:val="00586387"/>
    <w:rsid w:val="005B4DC3"/>
    <w:rsid w:val="005C5351"/>
    <w:rsid w:val="005D4C87"/>
    <w:rsid w:val="005D550E"/>
    <w:rsid w:val="005E0BBB"/>
    <w:rsid w:val="005E2FE7"/>
    <w:rsid w:val="005F46FD"/>
    <w:rsid w:val="005F490F"/>
    <w:rsid w:val="005F561A"/>
    <w:rsid w:val="00600E53"/>
    <w:rsid w:val="00611654"/>
    <w:rsid w:val="00614A49"/>
    <w:rsid w:val="0061798D"/>
    <w:rsid w:val="0062285E"/>
    <w:rsid w:val="00624CA9"/>
    <w:rsid w:val="00627DDF"/>
    <w:rsid w:val="00631FB1"/>
    <w:rsid w:val="006332BA"/>
    <w:rsid w:val="00633487"/>
    <w:rsid w:val="006457CF"/>
    <w:rsid w:val="00653018"/>
    <w:rsid w:val="00654989"/>
    <w:rsid w:val="006611CF"/>
    <w:rsid w:val="00665661"/>
    <w:rsid w:val="006678E0"/>
    <w:rsid w:val="00683EF3"/>
    <w:rsid w:val="006A76CA"/>
    <w:rsid w:val="006C5546"/>
    <w:rsid w:val="006C5D8F"/>
    <w:rsid w:val="006C6A78"/>
    <w:rsid w:val="006D36F9"/>
    <w:rsid w:val="006E0029"/>
    <w:rsid w:val="006E5E89"/>
    <w:rsid w:val="006E5F12"/>
    <w:rsid w:val="006F0BE8"/>
    <w:rsid w:val="006F435B"/>
    <w:rsid w:val="006F4393"/>
    <w:rsid w:val="006F78FE"/>
    <w:rsid w:val="007107D8"/>
    <w:rsid w:val="00711906"/>
    <w:rsid w:val="00720539"/>
    <w:rsid w:val="00721853"/>
    <w:rsid w:val="00733298"/>
    <w:rsid w:val="007420F8"/>
    <w:rsid w:val="00746469"/>
    <w:rsid w:val="00765E37"/>
    <w:rsid w:val="00770C61"/>
    <w:rsid w:val="00772C01"/>
    <w:rsid w:val="007747B6"/>
    <w:rsid w:val="0078200F"/>
    <w:rsid w:val="00783A5E"/>
    <w:rsid w:val="007864F1"/>
    <w:rsid w:val="00795463"/>
    <w:rsid w:val="007C3759"/>
    <w:rsid w:val="007D7D60"/>
    <w:rsid w:val="007E491E"/>
    <w:rsid w:val="007E7AA7"/>
    <w:rsid w:val="007F06EE"/>
    <w:rsid w:val="007F3212"/>
    <w:rsid w:val="007F73CF"/>
    <w:rsid w:val="008045E1"/>
    <w:rsid w:val="00806535"/>
    <w:rsid w:val="00821BA4"/>
    <w:rsid w:val="00834D0C"/>
    <w:rsid w:val="0083522C"/>
    <w:rsid w:val="008446CD"/>
    <w:rsid w:val="00852108"/>
    <w:rsid w:val="00853582"/>
    <w:rsid w:val="0086070A"/>
    <w:rsid w:val="00877C02"/>
    <w:rsid w:val="00883645"/>
    <w:rsid w:val="008920B0"/>
    <w:rsid w:val="008A3381"/>
    <w:rsid w:val="008B1883"/>
    <w:rsid w:val="008B4F95"/>
    <w:rsid w:val="008D26BA"/>
    <w:rsid w:val="008D5BBF"/>
    <w:rsid w:val="008D6717"/>
    <w:rsid w:val="008D7DDA"/>
    <w:rsid w:val="008E7760"/>
    <w:rsid w:val="008F5F48"/>
    <w:rsid w:val="008F76B8"/>
    <w:rsid w:val="0090176A"/>
    <w:rsid w:val="00906898"/>
    <w:rsid w:val="00924034"/>
    <w:rsid w:val="00936962"/>
    <w:rsid w:val="00950ED8"/>
    <w:rsid w:val="009613DC"/>
    <w:rsid w:val="00961415"/>
    <w:rsid w:val="00967E91"/>
    <w:rsid w:val="009714B0"/>
    <w:rsid w:val="00977A5F"/>
    <w:rsid w:val="00977A87"/>
    <w:rsid w:val="009A05EE"/>
    <w:rsid w:val="009A1070"/>
    <w:rsid w:val="009A464A"/>
    <w:rsid w:val="009A49DB"/>
    <w:rsid w:val="009B48FF"/>
    <w:rsid w:val="009B564D"/>
    <w:rsid w:val="009B6801"/>
    <w:rsid w:val="009C6B13"/>
    <w:rsid w:val="009D7F99"/>
    <w:rsid w:val="009F30DA"/>
    <w:rsid w:val="009F6805"/>
    <w:rsid w:val="009F752B"/>
    <w:rsid w:val="009F7686"/>
    <w:rsid w:val="00A03787"/>
    <w:rsid w:val="00A12538"/>
    <w:rsid w:val="00A145F4"/>
    <w:rsid w:val="00A20DB3"/>
    <w:rsid w:val="00A23623"/>
    <w:rsid w:val="00A23768"/>
    <w:rsid w:val="00A24DAD"/>
    <w:rsid w:val="00A27173"/>
    <w:rsid w:val="00A34AA7"/>
    <w:rsid w:val="00A424B7"/>
    <w:rsid w:val="00A42852"/>
    <w:rsid w:val="00A51056"/>
    <w:rsid w:val="00A5162F"/>
    <w:rsid w:val="00A52F7C"/>
    <w:rsid w:val="00A54DDA"/>
    <w:rsid w:val="00A57FA1"/>
    <w:rsid w:val="00A66992"/>
    <w:rsid w:val="00A708D7"/>
    <w:rsid w:val="00A751B9"/>
    <w:rsid w:val="00A76415"/>
    <w:rsid w:val="00AA09F4"/>
    <w:rsid w:val="00AA2A8D"/>
    <w:rsid w:val="00AA4649"/>
    <w:rsid w:val="00AC2AE0"/>
    <w:rsid w:val="00AC7A23"/>
    <w:rsid w:val="00AD3E26"/>
    <w:rsid w:val="00AE0F06"/>
    <w:rsid w:val="00AE43B7"/>
    <w:rsid w:val="00AF0A61"/>
    <w:rsid w:val="00AF0CA5"/>
    <w:rsid w:val="00AF3E2D"/>
    <w:rsid w:val="00B1340F"/>
    <w:rsid w:val="00B139E4"/>
    <w:rsid w:val="00B3540F"/>
    <w:rsid w:val="00B45E40"/>
    <w:rsid w:val="00B466F2"/>
    <w:rsid w:val="00B67561"/>
    <w:rsid w:val="00B70B1A"/>
    <w:rsid w:val="00B71C6F"/>
    <w:rsid w:val="00B95A89"/>
    <w:rsid w:val="00B96DE2"/>
    <w:rsid w:val="00BA0052"/>
    <w:rsid w:val="00BB1A73"/>
    <w:rsid w:val="00BB69B8"/>
    <w:rsid w:val="00BC0EBE"/>
    <w:rsid w:val="00BC4F23"/>
    <w:rsid w:val="00BC5FE7"/>
    <w:rsid w:val="00BC62DE"/>
    <w:rsid w:val="00BD22AC"/>
    <w:rsid w:val="00BD2643"/>
    <w:rsid w:val="00BD4058"/>
    <w:rsid w:val="00BF5681"/>
    <w:rsid w:val="00BF7DEC"/>
    <w:rsid w:val="00C007DE"/>
    <w:rsid w:val="00C03D20"/>
    <w:rsid w:val="00C053BC"/>
    <w:rsid w:val="00C07382"/>
    <w:rsid w:val="00C108BC"/>
    <w:rsid w:val="00C11645"/>
    <w:rsid w:val="00C12774"/>
    <w:rsid w:val="00C1516A"/>
    <w:rsid w:val="00C178EC"/>
    <w:rsid w:val="00C31E96"/>
    <w:rsid w:val="00C435D0"/>
    <w:rsid w:val="00C4636C"/>
    <w:rsid w:val="00C56EEB"/>
    <w:rsid w:val="00C60B33"/>
    <w:rsid w:val="00C663CB"/>
    <w:rsid w:val="00C6770A"/>
    <w:rsid w:val="00C70F49"/>
    <w:rsid w:val="00C7427E"/>
    <w:rsid w:val="00C83F49"/>
    <w:rsid w:val="00C900A9"/>
    <w:rsid w:val="00C96EBA"/>
    <w:rsid w:val="00CA481B"/>
    <w:rsid w:val="00CA4B57"/>
    <w:rsid w:val="00CB644E"/>
    <w:rsid w:val="00CC32B4"/>
    <w:rsid w:val="00CD332B"/>
    <w:rsid w:val="00D04407"/>
    <w:rsid w:val="00D1225B"/>
    <w:rsid w:val="00D15735"/>
    <w:rsid w:val="00D22ED7"/>
    <w:rsid w:val="00D407C8"/>
    <w:rsid w:val="00D413F1"/>
    <w:rsid w:val="00D42BFB"/>
    <w:rsid w:val="00D431E4"/>
    <w:rsid w:val="00D47FA5"/>
    <w:rsid w:val="00D60030"/>
    <w:rsid w:val="00D61CCE"/>
    <w:rsid w:val="00D65513"/>
    <w:rsid w:val="00D700B9"/>
    <w:rsid w:val="00D72FCB"/>
    <w:rsid w:val="00D738A7"/>
    <w:rsid w:val="00D74838"/>
    <w:rsid w:val="00D80DBE"/>
    <w:rsid w:val="00D90D76"/>
    <w:rsid w:val="00DA49A1"/>
    <w:rsid w:val="00DB1EEC"/>
    <w:rsid w:val="00DB2E93"/>
    <w:rsid w:val="00DD5149"/>
    <w:rsid w:val="00DD67C1"/>
    <w:rsid w:val="00DD7C9C"/>
    <w:rsid w:val="00DF6351"/>
    <w:rsid w:val="00E01673"/>
    <w:rsid w:val="00E01A4E"/>
    <w:rsid w:val="00E02B7A"/>
    <w:rsid w:val="00E2445B"/>
    <w:rsid w:val="00E33130"/>
    <w:rsid w:val="00E358C1"/>
    <w:rsid w:val="00E45475"/>
    <w:rsid w:val="00E460C8"/>
    <w:rsid w:val="00E569A0"/>
    <w:rsid w:val="00E56CF0"/>
    <w:rsid w:val="00E76BA0"/>
    <w:rsid w:val="00E82B97"/>
    <w:rsid w:val="00E93051"/>
    <w:rsid w:val="00E93D8A"/>
    <w:rsid w:val="00E96673"/>
    <w:rsid w:val="00EA772C"/>
    <w:rsid w:val="00EC043E"/>
    <w:rsid w:val="00EC0A0C"/>
    <w:rsid w:val="00EC0E74"/>
    <w:rsid w:val="00EC6520"/>
    <w:rsid w:val="00ED1040"/>
    <w:rsid w:val="00ED288B"/>
    <w:rsid w:val="00ED47BD"/>
    <w:rsid w:val="00EE209D"/>
    <w:rsid w:val="00EE3329"/>
    <w:rsid w:val="00EE4972"/>
    <w:rsid w:val="00EF591E"/>
    <w:rsid w:val="00F026D8"/>
    <w:rsid w:val="00F129BE"/>
    <w:rsid w:val="00F21EA0"/>
    <w:rsid w:val="00F247D5"/>
    <w:rsid w:val="00F27323"/>
    <w:rsid w:val="00F37865"/>
    <w:rsid w:val="00F4749E"/>
    <w:rsid w:val="00F53056"/>
    <w:rsid w:val="00F55602"/>
    <w:rsid w:val="00F57432"/>
    <w:rsid w:val="00F67138"/>
    <w:rsid w:val="00F71821"/>
    <w:rsid w:val="00F737A1"/>
    <w:rsid w:val="00F73C92"/>
    <w:rsid w:val="00F77BB5"/>
    <w:rsid w:val="00F80249"/>
    <w:rsid w:val="00F84D48"/>
    <w:rsid w:val="00F90257"/>
    <w:rsid w:val="00F91F06"/>
    <w:rsid w:val="00F91FB0"/>
    <w:rsid w:val="00F92DC3"/>
    <w:rsid w:val="00F94F62"/>
    <w:rsid w:val="00F955C9"/>
    <w:rsid w:val="00FB10D4"/>
    <w:rsid w:val="00FC2BA4"/>
    <w:rsid w:val="00FE0AC5"/>
    <w:rsid w:val="00FE68FC"/>
    <w:rsid w:val="00FF2690"/>
    <w:rsid w:val="00FF303C"/>
    <w:rsid w:val="00FF51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449DD00A"/>
  <w15:docId w15:val="{4059FA1E-C931-4595-8343-3BE6B37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706DC"/>
    <w:pPr>
      <w:tabs>
        <w:tab w:val="left" w:pos="1134"/>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95A89"/>
    <w:pPr>
      <w:tabs>
        <w:tab w:val="left" w:pos="8505"/>
      </w:tabs>
      <w:spacing w:line="360" w:lineRule="auto"/>
      <w:ind w:right="1922"/>
      <w:jc w:val="both"/>
    </w:pPr>
    <w:rPr>
      <w:rFonts w:ascii="Arial" w:hAnsi="Arial" w:cs="Arial"/>
      <w:b/>
      <w:sz w:val="22"/>
      <w:szCs w:val="22"/>
      <w:lang w:val="en-GB"/>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B95A89"/>
    <w:rPr>
      <w:rFonts w:ascii="Arial" w:hAnsi="Arial" w:cs="Arial"/>
      <w:b/>
      <w:sz w:val="22"/>
      <w:szCs w:val="22"/>
      <w:lang w:val="en-GB"/>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1706DC"/>
    <w:rPr>
      <w:rFonts w:ascii="Arial" w:hAnsi="Arial" w:cs="Arial"/>
      <w:color w:val="000000"/>
    </w:rPr>
  </w:style>
  <w:style w:type="paragraph" w:styleId="Listenabsatz">
    <w:name w:val="List Paragraph"/>
    <w:basedOn w:val="Standard"/>
    <w:uiPriority w:val="99"/>
    <w:qFormat/>
    <w:rsid w:val="006678E0"/>
    <w:pPr>
      <w:ind w:left="720"/>
      <w:contextualSpacing/>
    </w:pPr>
  </w:style>
  <w:style w:type="character" w:customStyle="1" w:styleId="KopfzeileZchn">
    <w:name w:val="Kopfzeile Zchn"/>
    <w:basedOn w:val="Absatz-Standardschriftart"/>
    <w:link w:val="Kopfzeile"/>
    <w:rsid w:val="001706DC"/>
    <w:rPr>
      <w:sz w:val="24"/>
      <w:szCs w:val="24"/>
    </w:rPr>
  </w:style>
  <w:style w:type="character" w:customStyle="1" w:styleId="FuzeileZchn">
    <w:name w:val="Fußzeile Zchn"/>
    <w:basedOn w:val="Absatz-Standardschriftart"/>
    <w:link w:val="Fuzeile"/>
    <w:semiHidden/>
    <w:rsid w:val="00170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811">
      <w:bodyDiv w:val="1"/>
      <w:marLeft w:val="0"/>
      <w:marRight w:val="0"/>
      <w:marTop w:val="0"/>
      <w:marBottom w:val="0"/>
      <w:divBdr>
        <w:top w:val="none" w:sz="0" w:space="0" w:color="auto"/>
        <w:left w:val="none" w:sz="0" w:space="0" w:color="auto"/>
        <w:bottom w:val="none" w:sz="0" w:space="0" w:color="auto"/>
        <w:right w:val="none" w:sz="0" w:space="0" w:color="auto"/>
      </w:divBdr>
      <w:divsChild>
        <w:div w:id="1444493416">
          <w:marLeft w:val="288"/>
          <w:marRight w:val="0"/>
          <w:marTop w:val="216"/>
          <w:marBottom w:val="0"/>
          <w:divBdr>
            <w:top w:val="none" w:sz="0" w:space="0" w:color="auto"/>
            <w:left w:val="none" w:sz="0" w:space="0" w:color="auto"/>
            <w:bottom w:val="none" w:sz="0" w:space="0" w:color="auto"/>
            <w:right w:val="none" w:sz="0" w:space="0" w:color="auto"/>
          </w:divBdr>
        </w:div>
      </w:divsChild>
    </w:div>
    <w:div w:id="344982947">
      <w:bodyDiv w:val="1"/>
      <w:marLeft w:val="0"/>
      <w:marRight w:val="0"/>
      <w:marTop w:val="0"/>
      <w:marBottom w:val="0"/>
      <w:divBdr>
        <w:top w:val="none" w:sz="0" w:space="0" w:color="auto"/>
        <w:left w:val="none" w:sz="0" w:space="0" w:color="auto"/>
        <w:bottom w:val="none" w:sz="0" w:space="0" w:color="auto"/>
        <w:right w:val="none" w:sz="0" w:space="0" w:color="auto"/>
      </w:divBdr>
      <w:divsChild>
        <w:div w:id="26376127">
          <w:marLeft w:val="288"/>
          <w:marRight w:val="0"/>
          <w:marTop w:val="216"/>
          <w:marBottom w:val="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following-on-from-a-successful-2017-leoni-sets-course-for-sustained-profitable-growth/"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nkedin.com/company/leoni" TargetMode="External"/><Relationship Id="rId17" Type="http://schemas.openxmlformats.org/officeDocument/2006/relationships/hyperlink" Target="mailto:invest@leoni.com" TargetMode="Externa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i.com/en/financial-publications/"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139A-CC84-4D2B-80E2-C741E9AF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E8631ED7.dotm</Template>
  <TotalTime>0</TotalTime>
  <Pages>4</Pages>
  <Words>1155</Words>
  <Characters>7278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8417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2</cp:revision>
  <cp:lastPrinted>2017-03-21T15:48:00Z</cp:lastPrinted>
  <dcterms:created xsi:type="dcterms:W3CDTF">2018-03-19T12:05:00Z</dcterms:created>
  <dcterms:modified xsi:type="dcterms:W3CDTF">2018-03-19T12:05:00Z</dcterms:modified>
</cp:coreProperties>
</file>