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997BA" w14:textId="38DFD53C" w:rsidR="00A92505" w:rsidRPr="00C76F97" w:rsidRDefault="00030FC6" w:rsidP="00AB366E">
      <w:pPr>
        <w:pStyle w:val="MMU1"/>
      </w:pPr>
      <w:r w:rsidRPr="00C76F97">
        <w:t>Leoni</w:t>
      </w:r>
      <w:r w:rsidR="00667966" w:rsidRPr="00667966">
        <w:t xml:space="preserve"> </w:t>
      </w:r>
      <w:r w:rsidR="00667966">
        <w:t>erhöht Umsatzprognose nach guter Geschäftsentwicklung im 1. Halbjahr</w:t>
      </w:r>
      <w:r w:rsidR="00667966" w:rsidRPr="00C76F97">
        <w:t xml:space="preserve"> </w:t>
      </w:r>
      <w:r w:rsidR="00882C51" w:rsidRPr="00C76F97">
        <w:t xml:space="preserve"> </w:t>
      </w:r>
    </w:p>
    <w:p w14:paraId="4D0544A2" w14:textId="106570B4" w:rsidR="00882C51" w:rsidRPr="00C76F97" w:rsidRDefault="00667966" w:rsidP="00AB366E">
      <w:pPr>
        <w:pStyle w:val="MMU2"/>
      </w:pPr>
      <w:r>
        <w:t>Sechs-Monats-Umsatz</w:t>
      </w:r>
      <w:r w:rsidR="003C6266">
        <w:t xml:space="preserve"> erreicht mit 2,7 Mrd. </w:t>
      </w:r>
      <w:r w:rsidR="00804C50">
        <w:t>Euro</w:t>
      </w:r>
      <w:r w:rsidR="003C6266">
        <w:t xml:space="preserve"> neuen Höchstwert</w:t>
      </w:r>
    </w:p>
    <w:p w14:paraId="0F878952" w14:textId="02FA3DA0" w:rsidR="00261B16" w:rsidRPr="00AB366E" w:rsidRDefault="00667966" w:rsidP="00AB366E">
      <w:pPr>
        <w:pStyle w:val="MMU2"/>
      </w:pPr>
      <w:r w:rsidRPr="00AB366E">
        <w:t xml:space="preserve">Bereinigtes EBIT steigt trotz höherem F&amp;E-Aufwand auf 128 Mio. Euro </w:t>
      </w:r>
    </w:p>
    <w:p w14:paraId="32AE814E" w14:textId="025F9B59" w:rsidR="00A92505" w:rsidRPr="00C76F97" w:rsidRDefault="003718B4" w:rsidP="00AB366E">
      <w:pPr>
        <w:pStyle w:val="MMU2"/>
      </w:pPr>
      <w:r w:rsidRPr="00667966">
        <w:t>Umsatzp</w:t>
      </w:r>
      <w:r w:rsidR="00B375B9" w:rsidRPr="00667966">
        <w:t>rognose</w:t>
      </w:r>
      <w:r w:rsidR="00B375B9" w:rsidRPr="00C76F97">
        <w:t xml:space="preserve"> für </w:t>
      </w:r>
      <w:r w:rsidR="00CA1E2C" w:rsidRPr="00C76F97">
        <w:t>2018</w:t>
      </w:r>
      <w:r w:rsidR="00882C51" w:rsidRPr="00C76F97">
        <w:t xml:space="preserve"> </w:t>
      </w:r>
      <w:r w:rsidRPr="00C76F97">
        <w:t>auf</w:t>
      </w:r>
      <w:r w:rsidR="00B375B9" w:rsidRPr="00C76F97">
        <w:t xml:space="preserve"> </w:t>
      </w:r>
      <w:r w:rsidR="00667966">
        <w:t>mindestens</w:t>
      </w:r>
      <w:r w:rsidRPr="00E86ACA">
        <w:t xml:space="preserve"> 5,</w:t>
      </w:r>
      <w:r w:rsidRPr="00C76F97">
        <w:t xml:space="preserve">1 Mrd. </w:t>
      </w:r>
      <w:r w:rsidR="00CA1E2C" w:rsidRPr="00C76F97">
        <w:t>Euro</w:t>
      </w:r>
      <w:r w:rsidRPr="00C76F97">
        <w:t xml:space="preserve"> angehoben</w:t>
      </w:r>
    </w:p>
    <w:p w14:paraId="1E1AB94F" w14:textId="66D041E2" w:rsidR="001B093D" w:rsidRDefault="00030FC6" w:rsidP="00AB366E">
      <w:pPr>
        <w:pStyle w:val="MMVorspann"/>
        <w:spacing w:before="360"/>
      </w:pPr>
      <w:r>
        <w:t>Nürnberg, 1</w:t>
      </w:r>
      <w:r w:rsidR="007523EB">
        <w:t>5</w:t>
      </w:r>
      <w:r w:rsidR="003D4445">
        <w:t xml:space="preserve">. </w:t>
      </w:r>
      <w:r w:rsidR="007523EB">
        <w:t>August</w:t>
      </w:r>
      <w:r w:rsidR="00A92505" w:rsidRPr="009A1070">
        <w:t xml:space="preserve"> 20</w:t>
      </w:r>
      <w:r w:rsidR="00A92505">
        <w:t>1</w:t>
      </w:r>
      <w:r w:rsidR="0011372F">
        <w:t>8</w:t>
      </w:r>
      <w:r w:rsidR="00A92505" w:rsidRPr="009A1070">
        <w:t xml:space="preserve"> – </w:t>
      </w:r>
      <w:r w:rsidR="00A92505" w:rsidRPr="003A379E">
        <w:t xml:space="preserve">Leoni, </w:t>
      </w:r>
      <w:r w:rsidR="0011372F" w:rsidRPr="003A379E">
        <w:t>globaler Lösungsanbieter für das Energie- und Datenmanagement in der Automobilbranche und weiteren Industrien</w:t>
      </w:r>
      <w:r w:rsidR="00A92505" w:rsidRPr="003A379E">
        <w:t xml:space="preserve">, </w:t>
      </w:r>
      <w:r w:rsidR="001B093D">
        <w:t xml:space="preserve">konnte </w:t>
      </w:r>
      <w:r w:rsidR="00996112">
        <w:t>seine</w:t>
      </w:r>
      <w:r w:rsidR="001B093D">
        <w:t xml:space="preserve"> gute Geschäftsentwicklung im zweiten Quartal 2018 fortsetzen. Dank des anhaltend </w:t>
      </w:r>
      <w:r w:rsidR="00A84392">
        <w:t>lebhaften</w:t>
      </w:r>
      <w:r w:rsidR="001B093D">
        <w:t xml:space="preserve"> Geschäfts mit Bordnetz-Systemen, Kabelsätzen und Spezialleitungen für die Automobilindustrie erhöhte sich der </w:t>
      </w:r>
      <w:r w:rsidR="008A346F" w:rsidRPr="003A379E">
        <w:t xml:space="preserve">Konzernumsatz </w:t>
      </w:r>
      <w:r w:rsidR="001B093D">
        <w:t xml:space="preserve">von April bis Juni um </w:t>
      </w:r>
      <w:r w:rsidR="00A84392">
        <w:t>7</w:t>
      </w:r>
      <w:r w:rsidR="008A346F" w:rsidRPr="003A379E">
        <w:t xml:space="preserve"> Prozent auf 1,</w:t>
      </w:r>
      <w:r w:rsidR="003A379E" w:rsidRPr="003A379E">
        <w:t>3</w:t>
      </w:r>
      <w:r w:rsidR="00395C57">
        <w:t xml:space="preserve"> M</w:t>
      </w:r>
      <w:r w:rsidR="003A379E" w:rsidRPr="003A379E">
        <w:t>r</w:t>
      </w:r>
      <w:r w:rsidR="00395C57">
        <w:t>d</w:t>
      </w:r>
      <w:r w:rsidR="003A379E" w:rsidRPr="003A379E">
        <w:t>. Euro (</w:t>
      </w:r>
      <w:r w:rsidR="00667966">
        <w:t>Q2/2017</w:t>
      </w:r>
      <w:r w:rsidR="003A379E" w:rsidRPr="003A379E">
        <w:t>: 1,2 Mrd. Euro)</w:t>
      </w:r>
      <w:r w:rsidR="001B093D">
        <w:t xml:space="preserve">. Aus eigener Kraft wuchs das Unternehmen um </w:t>
      </w:r>
      <w:r w:rsidR="00A84392">
        <w:t>9</w:t>
      </w:r>
      <w:r w:rsidR="001B093D">
        <w:t xml:space="preserve"> Prozent</w:t>
      </w:r>
      <w:r w:rsidR="00E86ACA">
        <w:t xml:space="preserve">. In </w:t>
      </w:r>
      <w:r w:rsidR="001B093D">
        <w:t xml:space="preserve">den ersten sechs Monaten nahm der Konzernumsatz um </w:t>
      </w:r>
      <w:r w:rsidR="00FB1984">
        <w:t>8</w:t>
      </w:r>
      <w:r w:rsidR="001B093D">
        <w:t xml:space="preserve"> Prozent auf </w:t>
      </w:r>
      <w:r w:rsidR="0057393D">
        <w:t xml:space="preserve">einen neuen Halbjahreshöchstwert von </w:t>
      </w:r>
      <w:r w:rsidR="001B093D">
        <w:t>2,</w:t>
      </w:r>
      <w:r w:rsidR="00E86ACA">
        <w:t>7</w:t>
      </w:r>
      <w:r w:rsidR="001B093D">
        <w:t xml:space="preserve"> Mrd. </w:t>
      </w:r>
      <w:r w:rsidR="00DD25DC">
        <w:t>Euro</w:t>
      </w:r>
      <w:r w:rsidR="001B093D">
        <w:t xml:space="preserve"> zu (</w:t>
      </w:r>
      <w:r w:rsidR="00667966">
        <w:t>H1/2017</w:t>
      </w:r>
      <w:r w:rsidR="001B093D">
        <w:t>: 2,</w:t>
      </w:r>
      <w:r w:rsidR="00E86ACA">
        <w:t>5</w:t>
      </w:r>
      <w:r w:rsidR="001B093D">
        <w:t xml:space="preserve"> Mrd. </w:t>
      </w:r>
      <w:r w:rsidR="00DD25DC">
        <w:t>Euro</w:t>
      </w:r>
      <w:r w:rsidR="001B093D">
        <w:t xml:space="preserve">). </w:t>
      </w:r>
      <w:r w:rsidR="003718B4">
        <w:t xml:space="preserve">Damit lag die Umsatzentwicklung </w:t>
      </w:r>
      <w:r w:rsidR="003C6266">
        <w:t xml:space="preserve">im bisherigen Jahresverlauf leicht </w:t>
      </w:r>
      <w:r w:rsidR="003718B4">
        <w:t>über den Erwartungen.</w:t>
      </w:r>
    </w:p>
    <w:p w14:paraId="7E7F68C4" w14:textId="5C18893B" w:rsidR="006511C9" w:rsidRDefault="00913306" w:rsidP="00D82A33">
      <w:pPr>
        <w:pStyle w:val="MMFlietext"/>
      </w:pPr>
      <w:r w:rsidRPr="00733E8F">
        <w:t xml:space="preserve">Das Ergebnis vor Zinsen und Steuern (EBIT) </w:t>
      </w:r>
      <w:r w:rsidR="003718B4">
        <w:t>belief sich</w:t>
      </w:r>
      <w:r w:rsidR="00DD25DC">
        <w:t xml:space="preserve"> im zweiten Quartal </w:t>
      </w:r>
      <w:r w:rsidR="003718B4">
        <w:t>auf</w:t>
      </w:r>
      <w:r w:rsidR="00DD25DC">
        <w:t xml:space="preserve"> 6</w:t>
      </w:r>
      <w:r w:rsidR="00A84392">
        <w:t>2</w:t>
      </w:r>
      <w:r w:rsidR="00DD25DC">
        <w:t xml:space="preserve"> Mio. Euro. Der hohe Vorjahreswert von 87 Mio. Euro hatte einen einmaligen positiven Effekt von 25 Mio. Euro aus der Entkonsolidierung des veräußerten Geschäfts mit Haushalts- und Elektrogerätekabeln enthalten.</w:t>
      </w:r>
      <w:r w:rsidR="00667966" w:rsidRPr="00667966">
        <w:t xml:space="preserve"> </w:t>
      </w:r>
      <w:r w:rsidR="00667966">
        <w:t>Das um sämtliche nicht-operativen Effekte bereinigte EBIT betrug im zweiten Quartal 6</w:t>
      </w:r>
      <w:r w:rsidR="00E77254">
        <w:t>4</w:t>
      </w:r>
      <w:r w:rsidR="00667966">
        <w:t xml:space="preserve"> Mio. Euro (Q2/2017: </w:t>
      </w:r>
      <w:r w:rsidR="00E77254">
        <w:t>65</w:t>
      </w:r>
      <w:r w:rsidR="00667966">
        <w:t xml:space="preserve"> Mio. Euro).</w:t>
      </w:r>
      <w:r w:rsidR="00125065" w:rsidRPr="00125065">
        <w:t xml:space="preserve"> </w:t>
      </w:r>
      <w:r w:rsidR="003F027D">
        <w:t xml:space="preserve">Von Januar bis Juni </w:t>
      </w:r>
      <w:r w:rsidR="00996112">
        <w:t xml:space="preserve">2018 </w:t>
      </w:r>
      <w:r w:rsidR="003F027D">
        <w:t>betrug das EBIT 12</w:t>
      </w:r>
      <w:r w:rsidR="00A84392">
        <w:t>5</w:t>
      </w:r>
      <w:r w:rsidR="003F027D">
        <w:t xml:space="preserve"> Mio. Euro (</w:t>
      </w:r>
      <w:r w:rsidR="00667966">
        <w:t>H1/2017</w:t>
      </w:r>
      <w:r w:rsidR="003F027D">
        <w:t>: 14</w:t>
      </w:r>
      <w:r w:rsidR="00F860B1">
        <w:t>2</w:t>
      </w:r>
      <w:r w:rsidR="003F027D">
        <w:t xml:space="preserve"> Mio. Euro)</w:t>
      </w:r>
      <w:r w:rsidR="006B61A9">
        <w:t>;</w:t>
      </w:r>
      <w:r w:rsidR="00667966">
        <w:t xml:space="preserve"> der bereinigte Wert </w:t>
      </w:r>
      <w:r w:rsidR="0095040B">
        <w:t>stieg</w:t>
      </w:r>
      <w:r w:rsidR="003F027D">
        <w:t xml:space="preserve"> um </w:t>
      </w:r>
      <w:r w:rsidR="00A84392">
        <w:t>7</w:t>
      </w:r>
      <w:r w:rsidR="003F027D">
        <w:t xml:space="preserve"> Prozent auf 12</w:t>
      </w:r>
      <w:r w:rsidR="00A84392">
        <w:t>8</w:t>
      </w:r>
      <w:r w:rsidR="003F027D">
        <w:t xml:space="preserve"> Mio. Euro</w:t>
      </w:r>
      <w:r w:rsidR="0095040B">
        <w:t xml:space="preserve"> (</w:t>
      </w:r>
      <w:r w:rsidR="006B61A9">
        <w:t>H1/2017</w:t>
      </w:r>
      <w:r w:rsidR="0095040B">
        <w:t>: 120 Mio. Euro)</w:t>
      </w:r>
      <w:r w:rsidR="003F027D">
        <w:t xml:space="preserve">, </w:t>
      </w:r>
      <w:r w:rsidR="00FF0660">
        <w:t>w</w:t>
      </w:r>
      <w:r w:rsidR="003F027D" w:rsidRPr="003F027D">
        <w:t xml:space="preserve">as einer </w:t>
      </w:r>
      <w:r w:rsidR="00FB1984">
        <w:t>bereinigten</w:t>
      </w:r>
      <w:r w:rsidR="003F027D" w:rsidRPr="003F027D">
        <w:t xml:space="preserve"> EBIT-Marge von </w:t>
      </w:r>
      <w:r w:rsidR="00A84392">
        <w:t>4,8 Prozent (</w:t>
      </w:r>
      <w:r w:rsidR="006B61A9">
        <w:t>H1/2017</w:t>
      </w:r>
      <w:r w:rsidR="00A84392">
        <w:t xml:space="preserve">: </w:t>
      </w:r>
      <w:r w:rsidR="003F027D" w:rsidRPr="003F027D">
        <w:t>4,9 Prozent</w:t>
      </w:r>
      <w:r w:rsidR="00A84392">
        <w:t>)</w:t>
      </w:r>
      <w:r w:rsidR="003F027D" w:rsidRPr="003F027D">
        <w:t xml:space="preserve"> </w:t>
      </w:r>
      <w:r w:rsidR="00FF0660" w:rsidRPr="003F027D">
        <w:t>entspr</w:t>
      </w:r>
      <w:r w:rsidR="00FF0660">
        <w:t>icht.</w:t>
      </w:r>
    </w:p>
    <w:p w14:paraId="265397D5" w14:textId="35BD7B49" w:rsidR="006B61A9" w:rsidRDefault="003F027D" w:rsidP="00D82A33">
      <w:pPr>
        <w:pStyle w:val="MMFlietext"/>
      </w:pPr>
      <w:r>
        <w:t xml:space="preserve">Zur Vorbereitung </w:t>
      </w:r>
      <w:r w:rsidR="00996112">
        <w:t>des künftigen Wachstums</w:t>
      </w:r>
      <w:r>
        <w:t xml:space="preserve"> und der weiteren Digitalisierung investierte L</w:t>
      </w:r>
      <w:r w:rsidR="009A38A6">
        <w:t>eoni</w:t>
      </w:r>
      <w:r>
        <w:t xml:space="preserve"> im </w:t>
      </w:r>
      <w:r w:rsidR="00996112">
        <w:t>zweiten</w:t>
      </w:r>
      <w:r>
        <w:t xml:space="preserve"> Quartal konzernweit 70 Mio. Euro (</w:t>
      </w:r>
      <w:r w:rsidR="006B61A9">
        <w:t>Q2/2017</w:t>
      </w:r>
      <w:r>
        <w:t>: 69 Mio. Euro) i</w:t>
      </w:r>
      <w:r w:rsidRPr="00B82FD5">
        <w:t>n Sachanlagen und immaterielle Vermögenswerte</w:t>
      </w:r>
      <w:r>
        <w:t xml:space="preserve">. </w:t>
      </w:r>
      <w:r w:rsidR="00FB1984">
        <w:t xml:space="preserve">Der Schwerpunkt lag auf neuen Bordnetz-Werken, dem Ausbau der Automobil-Spezialleitungsfertigung sowie der Fabrik der Zukunft am deutschen Standort </w:t>
      </w:r>
      <w:r w:rsidR="00FB1984">
        <w:lastRenderedPageBreak/>
        <w:t>Roth</w:t>
      </w:r>
      <w:r w:rsidR="0095040B">
        <w:t>.</w:t>
      </w:r>
      <w:r w:rsidR="00FB1984">
        <w:t xml:space="preserve"> </w:t>
      </w:r>
      <w:r>
        <w:t>Im gesamten ersten Halbjahr wurden die Investitionen um 9 Prozent auf 127 Mio. Euro (</w:t>
      </w:r>
      <w:r w:rsidR="006B61A9">
        <w:t>H1/2017</w:t>
      </w:r>
      <w:r>
        <w:t xml:space="preserve">: 116 Mio. Euro) </w:t>
      </w:r>
      <w:r w:rsidR="003718B4">
        <w:t>ausgeweitet</w:t>
      </w:r>
      <w:r>
        <w:t>.</w:t>
      </w:r>
    </w:p>
    <w:p w14:paraId="51CCB198" w14:textId="711303F2" w:rsidR="00B216C9" w:rsidRDefault="00B216C9" w:rsidP="00144A57">
      <w:pPr>
        <w:pStyle w:val="MMZwischenberschrift"/>
      </w:pPr>
      <w:proofErr w:type="spellStart"/>
      <w:r>
        <w:t>Wiring</w:t>
      </w:r>
      <w:proofErr w:type="spellEnd"/>
      <w:r>
        <w:t xml:space="preserve"> Systems: Bessere operative Performance und </w:t>
      </w:r>
      <w:r w:rsidR="00F32AD4">
        <w:t>Kapazitätsausbau</w:t>
      </w:r>
    </w:p>
    <w:p w14:paraId="67033FE1" w14:textId="692903AA" w:rsidR="0057393D" w:rsidRDefault="00996112" w:rsidP="00D82A33">
      <w:pPr>
        <w:pStyle w:val="MMFlietext"/>
      </w:pPr>
      <w:r>
        <w:t>Im</w:t>
      </w:r>
      <w:r w:rsidR="003824A2">
        <w:t xml:space="preserve"> Unternehmensbereich </w:t>
      </w:r>
      <w:proofErr w:type="spellStart"/>
      <w:r w:rsidR="003824A2">
        <w:t>Wiring</w:t>
      </w:r>
      <w:proofErr w:type="spellEnd"/>
      <w:r w:rsidR="003824A2">
        <w:t xml:space="preserve"> Systems </w:t>
      </w:r>
      <w:r>
        <w:t xml:space="preserve">erhöhte sich der Umsatz im zweiten </w:t>
      </w:r>
      <w:r w:rsidR="00E86ACA">
        <w:t xml:space="preserve">Quartal </w:t>
      </w:r>
      <w:r>
        <w:t>um 6 Prozent auf 82</w:t>
      </w:r>
      <w:r w:rsidR="00A84392">
        <w:t>9</w:t>
      </w:r>
      <w:r>
        <w:t xml:space="preserve"> Mio. Euro (</w:t>
      </w:r>
      <w:r w:rsidR="00155CD3">
        <w:t>Q2/2017</w:t>
      </w:r>
      <w:r>
        <w:t>: 78</w:t>
      </w:r>
      <w:r w:rsidR="00F860B1">
        <w:t>0</w:t>
      </w:r>
      <w:r>
        <w:t xml:space="preserve"> Mio. Euro)</w:t>
      </w:r>
      <w:r w:rsidR="00F32AD4">
        <w:t xml:space="preserve"> und in den ersten sechs Monaten um mehr als 9 Prozent auf 1,7 Mrd. </w:t>
      </w:r>
      <w:r w:rsidR="00804C50">
        <w:t>Euro</w:t>
      </w:r>
      <w:r w:rsidR="00155CD3">
        <w:t xml:space="preserve"> (H1/2017: </w:t>
      </w:r>
      <w:r w:rsidR="005722DC">
        <w:t>1,</w:t>
      </w:r>
      <w:r w:rsidR="00F860B1">
        <w:t>5</w:t>
      </w:r>
      <w:r w:rsidR="005722DC">
        <w:t xml:space="preserve"> Mrd. </w:t>
      </w:r>
      <w:r w:rsidR="00155CD3">
        <w:t>Euro)</w:t>
      </w:r>
      <w:r>
        <w:t>. Besonders dynamisch wuchs das Geschäft mit den europäischen Automobilherstellern und der internationalen Nutzfahrzeugindustrie.</w:t>
      </w:r>
      <w:r w:rsidR="00222871" w:rsidRPr="00222871">
        <w:t xml:space="preserve"> </w:t>
      </w:r>
      <w:r w:rsidR="00815946">
        <w:t xml:space="preserve">Das </w:t>
      </w:r>
      <w:r w:rsidR="002965B8">
        <w:t>Segment</w:t>
      </w:r>
      <w:r w:rsidR="00815946">
        <w:t>-</w:t>
      </w:r>
      <w:r w:rsidR="00815946" w:rsidRPr="00815946">
        <w:t xml:space="preserve">EBIT </w:t>
      </w:r>
      <w:r w:rsidR="006C63DB">
        <w:t>stieg</w:t>
      </w:r>
      <w:r w:rsidR="0057393D">
        <w:t xml:space="preserve"> im Quartalsvergleich von 44</w:t>
      </w:r>
      <w:r w:rsidR="003718B4">
        <w:t xml:space="preserve"> </w:t>
      </w:r>
      <w:r w:rsidR="0057393D">
        <w:t>auf 45 Mio. Euro</w:t>
      </w:r>
      <w:r w:rsidR="00F32AD4">
        <w:t xml:space="preserve">; im ersten Halbjahr 2018 legte das EBIT von 70 auf 87 Mio. </w:t>
      </w:r>
      <w:r w:rsidR="00804C50">
        <w:t>Euro</w:t>
      </w:r>
      <w:r w:rsidR="00F32AD4">
        <w:t xml:space="preserve"> zu</w:t>
      </w:r>
      <w:r w:rsidR="00BD07E8">
        <w:t>.</w:t>
      </w:r>
      <w:r w:rsidR="0057393D">
        <w:t xml:space="preserve"> Den </w:t>
      </w:r>
      <w:r w:rsidR="002965B8">
        <w:t>zusätzliche</w:t>
      </w:r>
      <w:r w:rsidR="0057393D">
        <w:t>n</w:t>
      </w:r>
      <w:r w:rsidR="002965B8">
        <w:t xml:space="preserve"> Deckungsbeiträge</w:t>
      </w:r>
      <w:r w:rsidR="0057393D">
        <w:t>n</w:t>
      </w:r>
      <w:r w:rsidR="002965B8">
        <w:t xml:space="preserve"> aus </w:t>
      </w:r>
      <w:r w:rsidR="0057393D">
        <w:t xml:space="preserve">dem </w:t>
      </w:r>
      <w:r w:rsidR="00222871" w:rsidRPr="00222871">
        <w:t>Ums</w:t>
      </w:r>
      <w:r w:rsidR="0057393D">
        <w:t>a</w:t>
      </w:r>
      <w:r w:rsidR="00222871" w:rsidRPr="00222871">
        <w:t>tz</w:t>
      </w:r>
      <w:r w:rsidR="0057393D">
        <w:t xml:space="preserve">plus und positiven Effekten aus der Performanceverbesserung </w:t>
      </w:r>
      <w:r w:rsidR="00FB1984">
        <w:t xml:space="preserve">standen </w:t>
      </w:r>
      <w:r w:rsidR="0057393D">
        <w:t xml:space="preserve">erste Vorleistungen für umfangreiche neue Kundenprojekte gegenüber. </w:t>
      </w:r>
      <w:r w:rsidR="00EA2C44">
        <w:t xml:space="preserve">Im </w:t>
      </w:r>
      <w:r w:rsidR="008964EF">
        <w:t>zweiten</w:t>
      </w:r>
      <w:r w:rsidR="00D5673F">
        <w:t xml:space="preserve"> Quartal eröffnete </w:t>
      </w:r>
      <w:r w:rsidR="00B948FC">
        <w:t xml:space="preserve">Leoni </w:t>
      </w:r>
      <w:r w:rsidR="00D5673F">
        <w:t xml:space="preserve">sein drittes serbisches Bordnetzwerk und den zweiten Standort im Rahmen des chinesischen Joint Ventures in </w:t>
      </w:r>
      <w:proofErr w:type="spellStart"/>
      <w:r w:rsidR="00D5673F">
        <w:t>Langfang</w:t>
      </w:r>
      <w:proofErr w:type="spellEnd"/>
      <w:r w:rsidR="00D5673F">
        <w:t xml:space="preserve"> – der Beginn einer deutlichen Ausweitung der globalen Produktionsk</w:t>
      </w:r>
      <w:r w:rsidR="00B948FC" w:rsidRPr="00B948FC">
        <w:t>apazitäten</w:t>
      </w:r>
      <w:r w:rsidR="00D5673F">
        <w:t>: I</w:t>
      </w:r>
      <w:r w:rsidR="00EA2C44">
        <w:t xml:space="preserve">m weiteren Jahresverlauf ist die Fertigstellung von vier </w:t>
      </w:r>
      <w:r w:rsidR="007829DA">
        <w:t>zusätzlichen</w:t>
      </w:r>
      <w:r w:rsidR="00EA2C44">
        <w:t xml:space="preserve"> Produktionsstätten geplant. </w:t>
      </w:r>
      <w:r w:rsidR="006C63DB">
        <w:t>Ende Juni hatte der Unternehmensbereich Aufträge im Wert von 21</w:t>
      </w:r>
      <w:r w:rsidR="00665C8B">
        <w:t>,2</w:t>
      </w:r>
      <w:r w:rsidR="006C63DB">
        <w:t xml:space="preserve"> Mrd. Euro in den Büchern</w:t>
      </w:r>
      <w:r w:rsidR="00D5673F">
        <w:t xml:space="preserve">, </w:t>
      </w:r>
      <w:r w:rsidR="00155CD3">
        <w:t xml:space="preserve">wovon gut 20 Prozent auf </w:t>
      </w:r>
      <w:r w:rsidR="00D5673F" w:rsidRPr="00445A33">
        <w:rPr>
          <w:bCs/>
        </w:rPr>
        <w:t>elektrisch angetriebene Fahrzeuge</w:t>
      </w:r>
      <w:r w:rsidR="00155CD3">
        <w:rPr>
          <w:bCs/>
        </w:rPr>
        <w:t xml:space="preserve"> entfallen</w:t>
      </w:r>
      <w:r w:rsidR="00E86ACA">
        <w:t xml:space="preserve">. </w:t>
      </w:r>
      <w:r w:rsidR="006C63DB">
        <w:rPr>
          <w:bCs/>
        </w:rPr>
        <w:t xml:space="preserve"> </w:t>
      </w:r>
    </w:p>
    <w:p w14:paraId="7FB6B815" w14:textId="1BA7D380" w:rsidR="00B216C9" w:rsidRDefault="00B216C9" w:rsidP="00144A57">
      <w:pPr>
        <w:pStyle w:val="MMZwischenberschrift"/>
      </w:pPr>
      <w:proofErr w:type="spellStart"/>
      <w:r>
        <w:t>Wire</w:t>
      </w:r>
      <w:proofErr w:type="spellEnd"/>
      <w:r>
        <w:t xml:space="preserve"> &amp; </w:t>
      </w:r>
      <w:r w:rsidR="0071010D">
        <w:t>C</w:t>
      </w:r>
      <w:r>
        <w:t xml:space="preserve">able Solutions: </w:t>
      </w:r>
      <w:r w:rsidR="0071010D">
        <w:t xml:space="preserve">Anhaltend hohe Nachfrage nach Spezialkabeln </w:t>
      </w:r>
    </w:p>
    <w:p w14:paraId="1C13325B" w14:textId="657E929B" w:rsidR="00FC4F6A" w:rsidRDefault="006E49BF" w:rsidP="00D82A33">
      <w:pPr>
        <w:pStyle w:val="MMFlietext"/>
      </w:pPr>
      <w:r w:rsidRPr="00665C8B">
        <w:t>Der Unternehmensb</w:t>
      </w:r>
      <w:r w:rsidR="003824A2" w:rsidRPr="00665C8B">
        <w:t xml:space="preserve">ereich </w:t>
      </w:r>
      <w:proofErr w:type="spellStart"/>
      <w:r w:rsidR="003824A2" w:rsidRPr="00665C8B">
        <w:t>Wire</w:t>
      </w:r>
      <w:proofErr w:type="spellEnd"/>
      <w:r w:rsidR="003824A2" w:rsidRPr="00665C8B">
        <w:t xml:space="preserve"> &amp; Cable Solutions </w:t>
      </w:r>
      <w:r w:rsidR="00665C8B" w:rsidRPr="00665C8B">
        <w:t>steigerte seinen Umsatz von April bis Juni um 8 Prozent auf 498 Mio. Euro (</w:t>
      </w:r>
      <w:r w:rsidR="00155CD3">
        <w:t>Q2/2017</w:t>
      </w:r>
      <w:r w:rsidR="00665C8B" w:rsidRPr="00665C8B">
        <w:t>: 462 Mio. Euro)</w:t>
      </w:r>
      <w:r w:rsidR="00F32AD4">
        <w:t>; im gesamten Halbjahr wurde ein Plus von 5 Prozent auf 98</w:t>
      </w:r>
      <w:r w:rsidR="00F860B1">
        <w:t>3</w:t>
      </w:r>
      <w:r w:rsidR="00F32AD4">
        <w:t xml:space="preserve"> Mio. </w:t>
      </w:r>
      <w:r w:rsidR="00804C50">
        <w:t>Euro</w:t>
      </w:r>
      <w:r w:rsidR="00F32AD4">
        <w:t xml:space="preserve"> </w:t>
      </w:r>
      <w:r w:rsidR="00155CD3">
        <w:t>(H1/2017</w:t>
      </w:r>
      <w:r w:rsidR="00155CD3" w:rsidRPr="00665C8B">
        <w:t xml:space="preserve">: </w:t>
      </w:r>
      <w:r w:rsidR="009A5D69">
        <w:t>937</w:t>
      </w:r>
      <w:r w:rsidR="00155CD3" w:rsidRPr="00665C8B">
        <w:t xml:space="preserve"> Mio. Euro</w:t>
      </w:r>
      <w:r w:rsidR="00155CD3">
        <w:t xml:space="preserve">) </w:t>
      </w:r>
      <w:r w:rsidR="00F32AD4">
        <w:t>erzielt</w:t>
      </w:r>
      <w:r w:rsidR="00665C8B" w:rsidRPr="00665C8B">
        <w:t xml:space="preserve">. </w:t>
      </w:r>
      <w:r w:rsidR="0057484D">
        <w:t>D</w:t>
      </w:r>
      <w:r w:rsidR="00A84392">
        <w:t>ank der</w:t>
      </w:r>
      <w:r w:rsidR="0057484D">
        <w:t xml:space="preserve"> unverändert starke</w:t>
      </w:r>
      <w:r w:rsidR="00A84392">
        <w:t>n</w:t>
      </w:r>
      <w:r w:rsidR="0057484D">
        <w:t xml:space="preserve"> Nachfrage nach Spezialleitungen für die Automobilindustrie sowie nach Kabeln und Lösungen für die </w:t>
      </w:r>
      <w:r w:rsidR="00A84392">
        <w:t>Fabrikautomation</w:t>
      </w:r>
      <w:r w:rsidR="0057484D">
        <w:t xml:space="preserve"> ko</w:t>
      </w:r>
      <w:r w:rsidR="00A84392">
        <w:t>nnte</w:t>
      </w:r>
      <w:r w:rsidR="0057484D">
        <w:t xml:space="preserve"> </w:t>
      </w:r>
      <w:r w:rsidR="0095040B">
        <w:t>de</w:t>
      </w:r>
      <w:r w:rsidR="00A84392">
        <w:t>r</w:t>
      </w:r>
      <w:r w:rsidR="0095040B">
        <w:t xml:space="preserve"> Umsatzwegfall durch den Verkauf de</w:t>
      </w:r>
      <w:r w:rsidR="00B216C9">
        <w:t>s</w:t>
      </w:r>
      <w:r w:rsidR="00B216C9" w:rsidRPr="00B216C9">
        <w:t xml:space="preserve"> </w:t>
      </w:r>
      <w:r w:rsidR="00B216C9">
        <w:t>Geschäfts mit Haushalts- und Elektrogerätekabeln</w:t>
      </w:r>
      <w:r w:rsidR="0095040B">
        <w:t xml:space="preserve"> </w:t>
      </w:r>
      <w:r w:rsidR="00A84392">
        <w:t>deutlich überkompensiert werden</w:t>
      </w:r>
      <w:r w:rsidR="007829DA">
        <w:t xml:space="preserve">. </w:t>
      </w:r>
      <w:r w:rsidR="00E37418">
        <w:t>Dagegen blieb d</w:t>
      </w:r>
      <w:r w:rsidR="007829DA">
        <w:t xml:space="preserve">as </w:t>
      </w:r>
      <w:r w:rsidR="0057484D">
        <w:t>Geschäft mit der Solar- und der petrochemischen Industrie</w:t>
      </w:r>
      <w:r w:rsidR="007829DA" w:rsidRPr="007829DA">
        <w:t xml:space="preserve"> </w:t>
      </w:r>
      <w:r w:rsidR="007829DA">
        <w:t xml:space="preserve">weiterhin </w:t>
      </w:r>
      <w:r w:rsidR="00F32AD4">
        <w:t>enttäuschend</w:t>
      </w:r>
      <w:r w:rsidR="0057484D">
        <w:t xml:space="preserve">, </w:t>
      </w:r>
      <w:r w:rsidR="007829DA">
        <w:t>w</w:t>
      </w:r>
      <w:r w:rsidR="0057484D">
        <w:t xml:space="preserve">as </w:t>
      </w:r>
      <w:r w:rsidR="00B216C9">
        <w:t xml:space="preserve">zusammen mit Anlaufkosten am Standort Indien und </w:t>
      </w:r>
      <w:r w:rsidR="007829DA">
        <w:t>höhere</w:t>
      </w:r>
      <w:r w:rsidR="00B216C9">
        <w:t>n</w:t>
      </w:r>
      <w:r w:rsidR="007829DA">
        <w:t xml:space="preserve"> Rohstoffpreise</w:t>
      </w:r>
      <w:r w:rsidR="00B216C9">
        <w:t>n</w:t>
      </w:r>
      <w:r w:rsidR="007829DA">
        <w:t xml:space="preserve"> </w:t>
      </w:r>
      <w:r w:rsidR="0057484D">
        <w:t>die Ertragslage belastete: Das Quartals-EBIT betrug 1</w:t>
      </w:r>
      <w:r w:rsidR="007829DA">
        <w:t>7</w:t>
      </w:r>
      <w:r w:rsidR="0057484D">
        <w:t xml:space="preserve"> Mio. Euro, </w:t>
      </w:r>
      <w:r w:rsidR="005214D7">
        <w:t xml:space="preserve">wobei </w:t>
      </w:r>
      <w:r w:rsidR="0057484D">
        <w:t>der V</w:t>
      </w:r>
      <w:r w:rsidR="007829DA">
        <w:t>orjahresv</w:t>
      </w:r>
      <w:r w:rsidR="0057484D">
        <w:t xml:space="preserve">ergleichswert von 43 Mio. Euro </w:t>
      </w:r>
      <w:r w:rsidR="0057484D">
        <w:lastRenderedPageBreak/>
        <w:t xml:space="preserve">den </w:t>
      </w:r>
      <w:r w:rsidR="005214D7">
        <w:t xml:space="preserve">bereits </w:t>
      </w:r>
      <w:r w:rsidR="0057484D">
        <w:t xml:space="preserve">erwähnten </w:t>
      </w:r>
      <w:proofErr w:type="spellStart"/>
      <w:r w:rsidR="0057484D">
        <w:t>E</w:t>
      </w:r>
      <w:r w:rsidR="007829DA">
        <w:t>ntkonsolidierungsgewinn</w:t>
      </w:r>
      <w:proofErr w:type="spellEnd"/>
      <w:r w:rsidR="0057484D">
        <w:t xml:space="preserve"> </w:t>
      </w:r>
      <w:r w:rsidR="007829DA">
        <w:t xml:space="preserve">von 25 Mio. Euro </w:t>
      </w:r>
      <w:r w:rsidR="0057484D">
        <w:t>enthalten</w:t>
      </w:r>
      <w:r w:rsidR="005214D7">
        <w:t xml:space="preserve"> hatte</w:t>
      </w:r>
      <w:r w:rsidR="0057484D">
        <w:t xml:space="preserve">. </w:t>
      </w:r>
      <w:r w:rsidR="007B253D">
        <w:t xml:space="preserve">Von Januar bis Juni </w:t>
      </w:r>
      <w:r w:rsidR="00804C50">
        <w:t xml:space="preserve">beläuft sich das </w:t>
      </w:r>
      <w:r w:rsidR="007B253D">
        <w:t xml:space="preserve">Segment-EBIT </w:t>
      </w:r>
      <w:r w:rsidR="009A5D69">
        <w:t>auf</w:t>
      </w:r>
      <w:r w:rsidR="007B253D">
        <w:t xml:space="preserve"> 38 Mio. </w:t>
      </w:r>
      <w:r w:rsidR="00804C50">
        <w:t xml:space="preserve">Euro </w:t>
      </w:r>
      <w:r w:rsidR="007B253D">
        <w:t>(</w:t>
      </w:r>
      <w:r w:rsidR="00155CD3">
        <w:t>H1/2017</w:t>
      </w:r>
      <w:r w:rsidR="007B253D">
        <w:t xml:space="preserve">: 68 Mio. </w:t>
      </w:r>
      <w:r w:rsidR="00804C50">
        <w:t>Euro</w:t>
      </w:r>
      <w:r w:rsidR="007B253D">
        <w:t xml:space="preserve">). </w:t>
      </w:r>
      <w:r w:rsidR="005214D7">
        <w:t xml:space="preserve">Der Auftragseingang des Unternehmensbereichs stieg </w:t>
      </w:r>
      <w:r w:rsidR="00B2543B">
        <w:t>von April bis Ju</w:t>
      </w:r>
      <w:r w:rsidR="00804C50">
        <w:t>n</w:t>
      </w:r>
      <w:r w:rsidR="00B2543B">
        <w:t xml:space="preserve">i 2018 </w:t>
      </w:r>
      <w:r w:rsidR="005214D7">
        <w:t>um 5 Prozent au</w:t>
      </w:r>
      <w:r w:rsidR="005214D7" w:rsidRPr="0071010D">
        <w:t xml:space="preserve">f </w:t>
      </w:r>
      <w:r w:rsidR="0071010D" w:rsidRPr="0071010D">
        <w:t>487</w:t>
      </w:r>
      <w:r w:rsidR="0057484D">
        <w:t xml:space="preserve"> Mio. Euro</w:t>
      </w:r>
      <w:r w:rsidR="005214D7">
        <w:t xml:space="preserve"> </w:t>
      </w:r>
      <w:r w:rsidR="00B216C9">
        <w:t>(</w:t>
      </w:r>
      <w:r w:rsidR="00155CD3">
        <w:t>Q2/2017</w:t>
      </w:r>
      <w:r w:rsidR="00B216C9">
        <w:t>:</w:t>
      </w:r>
      <w:r w:rsidR="009A5D69">
        <w:t xml:space="preserve"> 464</w:t>
      </w:r>
      <w:r w:rsidR="00B216C9">
        <w:t xml:space="preserve"> Mio. Euro)</w:t>
      </w:r>
      <w:r w:rsidR="00FC4F6A">
        <w:t xml:space="preserve">. </w:t>
      </w:r>
    </w:p>
    <w:p w14:paraId="7B67448B" w14:textId="0B5D59D8" w:rsidR="00B216C9" w:rsidRPr="00144A57" w:rsidRDefault="00B216C9" w:rsidP="00144A57">
      <w:pPr>
        <w:pStyle w:val="MMZwischenberschrift"/>
      </w:pPr>
      <w:r w:rsidRPr="00144A57">
        <w:t>Prognose</w:t>
      </w:r>
      <w:r w:rsidR="00155CD3" w:rsidRPr="00144A57">
        <w:t>anhebung</w:t>
      </w:r>
      <w:r w:rsidRPr="00144A57">
        <w:t>: Umsatz</w:t>
      </w:r>
      <w:r w:rsidR="00144A57">
        <w:t xml:space="preserve"> soll </w:t>
      </w:r>
      <w:r w:rsidRPr="00144A57">
        <w:t xml:space="preserve">auf </w:t>
      </w:r>
      <w:r w:rsidR="00155CD3" w:rsidRPr="00144A57">
        <w:t xml:space="preserve">mindestens </w:t>
      </w:r>
      <w:r w:rsidRPr="00144A57">
        <w:t xml:space="preserve">5,1 Mrd. Euro </w:t>
      </w:r>
      <w:r w:rsidR="00144A57">
        <w:t xml:space="preserve">steigen </w:t>
      </w:r>
      <w:r w:rsidRPr="00144A57">
        <w:t xml:space="preserve"> </w:t>
      </w:r>
    </w:p>
    <w:p w14:paraId="58F8F6AE" w14:textId="1E59A861" w:rsidR="003824A2" w:rsidRDefault="00FC4F6A" w:rsidP="00D82A33">
      <w:pPr>
        <w:pStyle w:val="MMFlietext"/>
      </w:pPr>
      <w:r>
        <w:t>„</w:t>
      </w:r>
      <w:r w:rsidR="0071010D">
        <w:t xml:space="preserve">Im ersten Halbjahr haben wir </w:t>
      </w:r>
      <w:r w:rsidR="0071010D" w:rsidRPr="0071010D">
        <w:t xml:space="preserve">vor allem </w:t>
      </w:r>
      <w:r w:rsidR="0071010D">
        <w:t xml:space="preserve">wegen </w:t>
      </w:r>
      <w:r w:rsidR="0071010D" w:rsidRPr="0071010D">
        <w:t xml:space="preserve">des höheren Kupferpreises </w:t>
      </w:r>
      <w:r w:rsidR="0071010D">
        <w:t>mehr Umsatz erwirtschaftet</w:t>
      </w:r>
      <w:r w:rsidR="00B2543B">
        <w:t>,</w:t>
      </w:r>
      <w:r w:rsidR="0071010D">
        <w:t xml:space="preserve"> als </w:t>
      </w:r>
      <w:r w:rsidR="00B2543B">
        <w:t xml:space="preserve">wir zu Jahresbeginn </w:t>
      </w:r>
      <w:r w:rsidR="0071010D">
        <w:t>erwartet</w:t>
      </w:r>
      <w:r w:rsidR="00B2543B">
        <w:t xml:space="preserve"> hatten</w:t>
      </w:r>
      <w:r w:rsidR="0071010D">
        <w:t xml:space="preserve">. </w:t>
      </w:r>
      <w:r w:rsidR="002C0452">
        <w:t>Wir gehen daher b</w:t>
      </w:r>
      <w:r w:rsidR="00B2543B">
        <w:t xml:space="preserve">eim </w:t>
      </w:r>
      <w:r w:rsidR="00FD5ED7">
        <w:t xml:space="preserve">Konzernumsatz 2018 </w:t>
      </w:r>
      <w:r w:rsidR="00B2543B">
        <w:t>nunmehr von einem Anstieg auf</w:t>
      </w:r>
      <w:r w:rsidR="00FD5ED7" w:rsidRPr="00E86ACA">
        <w:t xml:space="preserve"> </w:t>
      </w:r>
      <w:r w:rsidR="00155CD3">
        <w:t xml:space="preserve">mindestens </w:t>
      </w:r>
      <w:r w:rsidR="00FD5ED7" w:rsidRPr="00E86ACA">
        <w:t>5,1 Mrd</w:t>
      </w:r>
      <w:r w:rsidR="00FD5ED7" w:rsidRPr="00D10F63">
        <w:t>. </w:t>
      </w:r>
      <w:r w:rsidR="00FD5ED7">
        <w:t>Euro</w:t>
      </w:r>
      <w:r w:rsidR="00FD5ED7" w:rsidRPr="00D10F63">
        <w:t xml:space="preserve"> </w:t>
      </w:r>
      <w:r w:rsidR="00D10F63" w:rsidRPr="00D10F63">
        <w:t>a</w:t>
      </w:r>
      <w:r w:rsidR="00A154F5">
        <w:t>us</w:t>
      </w:r>
      <w:r w:rsidR="00D10F63">
        <w:t>“</w:t>
      </w:r>
      <w:r w:rsidR="00B216C9">
        <w:t>,</w:t>
      </w:r>
      <w:r w:rsidR="00B216C9" w:rsidRPr="00B216C9">
        <w:t xml:space="preserve"> </w:t>
      </w:r>
      <w:r w:rsidR="00B216C9">
        <w:t xml:space="preserve">sagt Karl </w:t>
      </w:r>
      <w:proofErr w:type="spellStart"/>
      <w:r w:rsidR="00B216C9">
        <w:t>Gadesmann</w:t>
      </w:r>
      <w:proofErr w:type="spellEnd"/>
      <w:r w:rsidR="00B216C9">
        <w:t>, CFO und Sprecher des Vorstands der Leoni AG</w:t>
      </w:r>
      <w:r w:rsidR="00546AC0">
        <w:t xml:space="preserve">. </w:t>
      </w:r>
      <w:r w:rsidR="00FD5ED7">
        <w:t xml:space="preserve">Bisher wurden </w:t>
      </w:r>
      <w:r w:rsidR="00D10F63" w:rsidRPr="00D10F63">
        <w:t xml:space="preserve">mindestens 5,0 Mrd. </w:t>
      </w:r>
      <w:r w:rsidR="00CA1E2C">
        <w:t>Euro</w:t>
      </w:r>
      <w:r w:rsidR="00FD5ED7">
        <w:t xml:space="preserve"> prognostiziert (</w:t>
      </w:r>
      <w:r w:rsidR="00144A57">
        <w:t>2017</w:t>
      </w:r>
      <w:r w:rsidR="009A38A6">
        <w:t>: 4,9 Mrd. Euro)</w:t>
      </w:r>
      <w:r w:rsidR="00D10F63" w:rsidRPr="00D10F63">
        <w:t xml:space="preserve">. </w:t>
      </w:r>
      <w:r w:rsidR="00D10F63">
        <w:t xml:space="preserve">Für das </w:t>
      </w:r>
      <w:r w:rsidR="003824A2">
        <w:t xml:space="preserve">Konzern-EBIT </w:t>
      </w:r>
      <w:r w:rsidR="00144A57">
        <w:t xml:space="preserve">avisiert Leoni </w:t>
      </w:r>
      <w:r w:rsidR="00D10F63">
        <w:t xml:space="preserve">weiterhin eine Spanne von </w:t>
      </w:r>
      <w:r w:rsidR="00363AC0">
        <w:t>215 und 235 Mio. Euro</w:t>
      </w:r>
      <w:r w:rsidR="00FD5ED7">
        <w:t xml:space="preserve">. Damit wird </w:t>
      </w:r>
      <w:r w:rsidR="00FD5ED7" w:rsidRPr="00FD5ED7">
        <w:t xml:space="preserve">der Ergebnisbeitrag im zweiten Halbjahr vor allem aufgrund steigender Vorlaufkosten für neue Bordnetzprojekte erwartungsgemäß niedriger ausfallen als </w:t>
      </w:r>
      <w:r w:rsidR="00FD5ED7">
        <w:t xml:space="preserve">im bisherigen Jahresverlauf. </w:t>
      </w:r>
      <w:r w:rsidR="003B16EB">
        <w:t>D</w:t>
      </w:r>
      <w:r w:rsidR="00FD5ED7" w:rsidRPr="00FD5ED7">
        <w:t xml:space="preserve">er </w:t>
      </w:r>
      <w:r w:rsidR="009D0E68">
        <w:t>Jahresz</w:t>
      </w:r>
      <w:r w:rsidR="00FD5ED7" w:rsidRPr="00FD5ED7">
        <w:t xml:space="preserve">ielwert </w:t>
      </w:r>
      <w:r w:rsidR="003B16EB">
        <w:t>spiegelt die sp</w:t>
      </w:r>
      <w:r w:rsidR="00A154F5">
        <w:t>ürbar</w:t>
      </w:r>
      <w:r w:rsidR="003B16EB">
        <w:t xml:space="preserve"> </w:t>
      </w:r>
      <w:r w:rsidR="00A154F5">
        <w:t xml:space="preserve">verbesserte Qualität </w:t>
      </w:r>
      <w:r w:rsidR="00FD5ED7" w:rsidRPr="00FD5ED7">
        <w:t>des operativen Ergebnisses im Vergleich zum Vorjahr</w:t>
      </w:r>
      <w:r w:rsidR="009D0E68">
        <w:t xml:space="preserve"> (</w:t>
      </w:r>
      <w:r w:rsidR="009A5D69">
        <w:t>225</w:t>
      </w:r>
      <w:r w:rsidR="009D0E68">
        <w:t xml:space="preserve"> Mio. Euro)</w:t>
      </w:r>
      <w:r w:rsidR="00804C50">
        <w:t xml:space="preserve"> wider</w:t>
      </w:r>
      <w:r w:rsidR="00FD5ED7" w:rsidRPr="00FD5ED7">
        <w:t xml:space="preserve">, in dem 30 Mio. </w:t>
      </w:r>
      <w:r w:rsidR="00FD5ED7">
        <w:t xml:space="preserve">Euro </w:t>
      </w:r>
      <w:r w:rsidR="00FD5ED7" w:rsidRPr="00FD5ED7">
        <w:t xml:space="preserve">positive Einmaleffekte enthalten waren. </w:t>
      </w:r>
    </w:p>
    <w:p w14:paraId="28095397" w14:textId="1B22F19B" w:rsidR="00A92505" w:rsidRPr="00006BEE" w:rsidRDefault="00A92505" w:rsidP="00D82A33">
      <w:pPr>
        <w:pStyle w:val="MMFlietext"/>
        <w:rPr>
          <w:i/>
        </w:rPr>
      </w:pPr>
      <w:r w:rsidRPr="00006BEE">
        <w:rPr>
          <w:i/>
        </w:rPr>
        <w:t>(</w:t>
      </w:r>
      <w:r w:rsidR="00006BEE" w:rsidRPr="00006BEE">
        <w:rPr>
          <w:i/>
        </w:rPr>
        <w:t>5.816</w:t>
      </w:r>
      <w:r w:rsidRPr="00006BEE">
        <w:rPr>
          <w:i/>
        </w:rPr>
        <w:t xml:space="preserve"> Anschläge inkl. Leerzeichen)</w:t>
      </w:r>
    </w:p>
    <w:p w14:paraId="1C628CB5" w14:textId="39308A36" w:rsidR="00410B1E" w:rsidRDefault="00A92505" w:rsidP="00410B1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F72636" w:rsidRPr="00103E79">
          <w:rPr>
            <w:rStyle w:val="Hyperlink"/>
            <w:rFonts w:ascii="Arial" w:hAnsi="Arial" w:cs="Arial"/>
            <w:i/>
            <w:sz w:val="22"/>
            <w:szCs w:val="22"/>
          </w:rPr>
          <w:t>https://www.leoni.com/de/presse/mitteilungen/details/leoni-erhoeht-umsatzprognose-nach-guter-geschaeftsentwicklung-im-1-halbjahr/</w:t>
        </w:r>
      </w:hyperlink>
      <w:bookmarkStart w:id="0" w:name="_GoBack"/>
      <w:bookmarkEnd w:id="0"/>
      <w:r w:rsidR="00EB569F">
        <w:rPr>
          <w:rFonts w:ascii="Arial" w:hAnsi="Arial" w:cs="Arial"/>
          <w:i/>
          <w:sz w:val="22"/>
          <w:szCs w:val="22"/>
        </w:rPr>
        <w:t xml:space="preserve"> </w:t>
      </w:r>
    </w:p>
    <w:p w14:paraId="6C25FF87" w14:textId="478575AD" w:rsidR="00AB5F36" w:rsidRPr="00445A33" w:rsidRDefault="00440769" w:rsidP="00445A33">
      <w:pPr>
        <w:ind w:right="1852"/>
        <w:rPr>
          <w:rFonts w:ascii="Arial" w:hAnsi="Arial" w:cs="Arial"/>
          <w:i/>
          <w:sz w:val="22"/>
          <w:szCs w:val="22"/>
        </w:rPr>
      </w:pPr>
      <w:r w:rsidRPr="00B30C8C">
        <w:rPr>
          <w:rFonts w:ascii="Arial" w:hAnsi="Arial" w:cs="Arial"/>
          <w:sz w:val="36"/>
          <w:szCs w:val="36"/>
        </w:rPr>
        <w:sym w:font="Wingdings" w:char="F046"/>
      </w:r>
      <w:r w:rsidRPr="00B30C8C">
        <w:rPr>
          <w:rFonts w:ascii="Arial" w:hAnsi="Arial" w:cs="Arial"/>
          <w:i/>
          <w:sz w:val="20"/>
          <w:szCs w:val="20"/>
        </w:rPr>
        <w:t xml:space="preserve"> </w:t>
      </w:r>
      <w:r w:rsidRPr="00B30C8C">
        <w:rPr>
          <w:rFonts w:ascii="Arial" w:hAnsi="Arial" w:cs="Arial"/>
          <w:i/>
          <w:sz w:val="22"/>
          <w:szCs w:val="22"/>
        </w:rPr>
        <w:t>D</w:t>
      </w:r>
      <w:r w:rsidR="00996112">
        <w:rPr>
          <w:rFonts w:ascii="Arial" w:hAnsi="Arial" w:cs="Arial"/>
          <w:i/>
          <w:sz w:val="22"/>
          <w:szCs w:val="22"/>
        </w:rPr>
        <w:t>en</w:t>
      </w:r>
      <w:r w:rsidR="00A22DD6">
        <w:rPr>
          <w:rFonts w:ascii="Arial" w:hAnsi="Arial" w:cs="Arial"/>
          <w:i/>
          <w:sz w:val="22"/>
          <w:szCs w:val="22"/>
        </w:rPr>
        <w:t xml:space="preserve"> </w:t>
      </w:r>
      <w:r w:rsidR="00996112" w:rsidRPr="00E86ACA">
        <w:rPr>
          <w:rFonts w:ascii="Arial" w:hAnsi="Arial" w:cs="Arial"/>
          <w:i/>
          <w:sz w:val="22"/>
          <w:szCs w:val="22"/>
        </w:rPr>
        <w:t>vollständigen Zwischenbericht</w:t>
      </w:r>
      <w:r w:rsidRPr="00B30C8C">
        <w:rPr>
          <w:rFonts w:ascii="Arial" w:hAnsi="Arial" w:cs="Arial"/>
          <w:i/>
          <w:sz w:val="22"/>
          <w:szCs w:val="22"/>
        </w:rPr>
        <w:t xml:space="preserve"> können Sie herunterladen unter </w:t>
      </w:r>
      <w:hyperlink r:id="rId9" w:history="1">
        <w:r w:rsidR="00996112" w:rsidRPr="006E2F93">
          <w:rPr>
            <w:rStyle w:val="Hyperlink"/>
            <w:rFonts w:ascii="Arial" w:hAnsi="Arial" w:cs="Arial"/>
            <w:i/>
            <w:sz w:val="22"/>
            <w:szCs w:val="22"/>
          </w:rPr>
          <w:t>www.leoni.com/de/finanzpublikationen</w:t>
        </w:r>
      </w:hyperlink>
    </w:p>
    <w:p w14:paraId="19E7F41D" w14:textId="77777777" w:rsidR="00144A57" w:rsidRDefault="00144A57">
      <w:pPr>
        <w:rPr>
          <w:rFonts w:ascii="Arial" w:hAnsi="Arial" w:cs="Arial"/>
          <w:b/>
          <w:color w:val="112E6B"/>
          <w:sz w:val="20"/>
          <w:szCs w:val="20"/>
        </w:rPr>
      </w:pPr>
      <w:r>
        <w:br w:type="page"/>
      </w:r>
    </w:p>
    <w:p w14:paraId="0BA01F22" w14:textId="4D38DFA1" w:rsidR="00440769" w:rsidRDefault="00440769" w:rsidP="00D82A33">
      <w:pPr>
        <w:pStyle w:val="MMKurzprofilberschrift"/>
      </w:pPr>
      <w:r w:rsidRPr="006678E0">
        <w:lastRenderedPageBreak/>
        <w:t>Leoni-Konzernzahlen im Überblick</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3114"/>
        <w:gridCol w:w="907"/>
        <w:gridCol w:w="907"/>
        <w:gridCol w:w="964"/>
        <w:gridCol w:w="907"/>
        <w:gridCol w:w="907"/>
        <w:gridCol w:w="964"/>
      </w:tblGrid>
      <w:tr w:rsidR="00144A57" w14:paraId="6FC593FE" w14:textId="77777777" w:rsidTr="00144A57">
        <w:trPr>
          <w:trHeight w:val="300"/>
        </w:trPr>
        <w:tc>
          <w:tcPr>
            <w:tcW w:w="3114" w:type="dxa"/>
            <w:shd w:val="clear" w:color="auto" w:fill="auto"/>
            <w:noWrap/>
            <w:vAlign w:val="bottom"/>
            <w:hideMark/>
          </w:tcPr>
          <w:p w14:paraId="7AF97D39" w14:textId="6BBAC665" w:rsidR="002441DF" w:rsidRDefault="002441DF">
            <w:pPr>
              <w:rPr>
                <w:rFonts w:ascii="Arial" w:hAnsi="Arial" w:cs="Arial"/>
                <w:i/>
                <w:iCs/>
                <w:color w:val="000000"/>
                <w:sz w:val="20"/>
                <w:szCs w:val="20"/>
              </w:rPr>
            </w:pPr>
          </w:p>
        </w:tc>
        <w:tc>
          <w:tcPr>
            <w:tcW w:w="907" w:type="dxa"/>
            <w:shd w:val="clear" w:color="auto" w:fill="auto"/>
            <w:noWrap/>
            <w:vAlign w:val="bottom"/>
            <w:hideMark/>
          </w:tcPr>
          <w:p w14:paraId="271DFE38" w14:textId="4FB5B22C" w:rsidR="002441DF" w:rsidRPr="002441DF" w:rsidRDefault="00144A57" w:rsidP="00144A57">
            <w:pPr>
              <w:jc w:val="center"/>
              <w:rPr>
                <w:rFonts w:ascii="Arial" w:hAnsi="Arial" w:cs="Arial"/>
                <w:b/>
                <w:bCs/>
                <w:color w:val="000000"/>
                <w:sz w:val="18"/>
                <w:szCs w:val="18"/>
              </w:rPr>
            </w:pPr>
            <w:r>
              <w:rPr>
                <w:rFonts w:ascii="Arial" w:hAnsi="Arial" w:cs="Arial"/>
                <w:b/>
                <w:bCs/>
                <w:color w:val="000000"/>
                <w:sz w:val="18"/>
                <w:szCs w:val="18"/>
              </w:rPr>
              <w:t>Q</w:t>
            </w:r>
            <w:r w:rsidR="002441DF" w:rsidRPr="002441DF">
              <w:rPr>
                <w:rFonts w:ascii="Arial" w:hAnsi="Arial" w:cs="Arial"/>
                <w:b/>
                <w:bCs/>
                <w:color w:val="000000"/>
                <w:sz w:val="18"/>
                <w:szCs w:val="18"/>
              </w:rPr>
              <w:t>2</w:t>
            </w:r>
            <w:r>
              <w:rPr>
                <w:rFonts w:ascii="Arial" w:hAnsi="Arial" w:cs="Arial"/>
                <w:b/>
                <w:bCs/>
                <w:color w:val="000000"/>
                <w:sz w:val="18"/>
                <w:szCs w:val="18"/>
              </w:rPr>
              <w:t>/</w:t>
            </w:r>
            <w:r w:rsidR="002441DF" w:rsidRPr="002441DF">
              <w:rPr>
                <w:rFonts w:ascii="Arial" w:hAnsi="Arial" w:cs="Arial"/>
                <w:b/>
                <w:bCs/>
                <w:color w:val="000000"/>
                <w:sz w:val="18"/>
                <w:szCs w:val="18"/>
              </w:rPr>
              <w:t>2018</w:t>
            </w:r>
          </w:p>
        </w:tc>
        <w:tc>
          <w:tcPr>
            <w:tcW w:w="907" w:type="dxa"/>
            <w:shd w:val="clear" w:color="auto" w:fill="auto"/>
            <w:noWrap/>
            <w:vAlign w:val="bottom"/>
            <w:hideMark/>
          </w:tcPr>
          <w:p w14:paraId="7556F926" w14:textId="0881171B" w:rsidR="002441DF" w:rsidRPr="002441DF" w:rsidRDefault="00144A57" w:rsidP="00144A57">
            <w:pPr>
              <w:jc w:val="center"/>
              <w:rPr>
                <w:rFonts w:ascii="Arial" w:hAnsi="Arial" w:cs="Arial"/>
                <w:b/>
                <w:bCs/>
                <w:color w:val="000000"/>
                <w:sz w:val="18"/>
                <w:szCs w:val="18"/>
              </w:rPr>
            </w:pPr>
            <w:r>
              <w:rPr>
                <w:rFonts w:ascii="Arial" w:hAnsi="Arial" w:cs="Arial"/>
                <w:b/>
                <w:bCs/>
                <w:color w:val="000000"/>
                <w:sz w:val="18"/>
                <w:szCs w:val="18"/>
              </w:rPr>
              <w:t>Q</w:t>
            </w:r>
            <w:r w:rsidR="002441DF" w:rsidRPr="002441DF">
              <w:rPr>
                <w:rFonts w:ascii="Arial" w:hAnsi="Arial" w:cs="Arial"/>
                <w:b/>
                <w:bCs/>
                <w:color w:val="000000"/>
                <w:sz w:val="18"/>
                <w:szCs w:val="18"/>
              </w:rPr>
              <w:t>2</w:t>
            </w:r>
            <w:r>
              <w:rPr>
                <w:rFonts w:ascii="Arial" w:hAnsi="Arial" w:cs="Arial"/>
                <w:b/>
                <w:bCs/>
                <w:color w:val="000000"/>
                <w:sz w:val="18"/>
                <w:szCs w:val="18"/>
              </w:rPr>
              <w:t>/</w:t>
            </w:r>
            <w:r w:rsidR="002441DF" w:rsidRPr="002441DF">
              <w:rPr>
                <w:rFonts w:ascii="Arial" w:hAnsi="Arial" w:cs="Arial"/>
                <w:b/>
                <w:bCs/>
                <w:color w:val="000000"/>
                <w:sz w:val="18"/>
                <w:szCs w:val="18"/>
              </w:rPr>
              <w:t>2017²</w:t>
            </w:r>
          </w:p>
        </w:tc>
        <w:tc>
          <w:tcPr>
            <w:tcW w:w="964" w:type="dxa"/>
            <w:shd w:val="clear" w:color="auto" w:fill="auto"/>
            <w:noWrap/>
            <w:vAlign w:val="bottom"/>
            <w:hideMark/>
          </w:tcPr>
          <w:p w14:paraId="55372B56" w14:textId="6C03B4A8" w:rsidR="002441DF" w:rsidRPr="002441DF" w:rsidRDefault="002441DF" w:rsidP="002441DF">
            <w:pPr>
              <w:jc w:val="center"/>
              <w:rPr>
                <w:rFonts w:ascii="Arial" w:hAnsi="Arial" w:cs="Arial"/>
                <w:b/>
                <w:bCs/>
                <w:color w:val="000000"/>
                <w:sz w:val="18"/>
                <w:szCs w:val="18"/>
              </w:rPr>
            </w:pPr>
            <w:r w:rsidRPr="002441DF">
              <w:rPr>
                <w:rFonts w:ascii="Arial" w:hAnsi="Arial" w:cs="Arial"/>
                <w:b/>
                <w:bCs/>
                <w:color w:val="000000"/>
                <w:sz w:val="18"/>
                <w:szCs w:val="18"/>
              </w:rPr>
              <w:t>Verän</w:t>
            </w:r>
            <w:r w:rsidRPr="002441DF">
              <w:rPr>
                <w:rFonts w:ascii="Arial" w:hAnsi="Arial" w:cs="Arial"/>
                <w:b/>
                <w:bCs/>
                <w:color w:val="000000"/>
                <w:sz w:val="18"/>
                <w:szCs w:val="18"/>
              </w:rPr>
              <w:softHyphen/>
              <w:t>derung</w:t>
            </w:r>
          </w:p>
        </w:tc>
        <w:tc>
          <w:tcPr>
            <w:tcW w:w="907" w:type="dxa"/>
            <w:shd w:val="clear" w:color="auto" w:fill="auto"/>
            <w:noWrap/>
            <w:vAlign w:val="bottom"/>
            <w:hideMark/>
          </w:tcPr>
          <w:p w14:paraId="00F9DB9A" w14:textId="5B602778" w:rsidR="002441DF" w:rsidRPr="002441DF" w:rsidRDefault="00144A57" w:rsidP="00144A57">
            <w:pPr>
              <w:jc w:val="center"/>
              <w:rPr>
                <w:rFonts w:ascii="Arial" w:hAnsi="Arial" w:cs="Arial"/>
                <w:b/>
                <w:bCs/>
                <w:color w:val="000000"/>
                <w:sz w:val="18"/>
                <w:szCs w:val="18"/>
              </w:rPr>
            </w:pPr>
            <w:r>
              <w:rPr>
                <w:rFonts w:ascii="Arial" w:hAnsi="Arial" w:cs="Arial"/>
                <w:b/>
                <w:bCs/>
                <w:color w:val="000000"/>
                <w:sz w:val="18"/>
                <w:szCs w:val="18"/>
              </w:rPr>
              <w:t>H</w:t>
            </w:r>
            <w:r w:rsidR="002441DF" w:rsidRPr="002441DF">
              <w:rPr>
                <w:rFonts w:ascii="Arial" w:hAnsi="Arial" w:cs="Arial"/>
                <w:b/>
                <w:bCs/>
                <w:color w:val="000000"/>
                <w:sz w:val="18"/>
                <w:szCs w:val="18"/>
              </w:rPr>
              <w:t>1</w:t>
            </w:r>
            <w:r>
              <w:rPr>
                <w:rFonts w:ascii="Arial" w:hAnsi="Arial" w:cs="Arial"/>
                <w:b/>
                <w:bCs/>
                <w:color w:val="000000"/>
                <w:sz w:val="18"/>
                <w:szCs w:val="18"/>
              </w:rPr>
              <w:t>/</w:t>
            </w:r>
            <w:r w:rsidR="002441DF" w:rsidRPr="002441DF">
              <w:rPr>
                <w:rFonts w:ascii="Arial" w:hAnsi="Arial" w:cs="Arial"/>
                <w:b/>
                <w:bCs/>
                <w:color w:val="000000"/>
                <w:sz w:val="18"/>
                <w:szCs w:val="18"/>
              </w:rPr>
              <w:t>2018</w:t>
            </w:r>
          </w:p>
        </w:tc>
        <w:tc>
          <w:tcPr>
            <w:tcW w:w="907" w:type="dxa"/>
            <w:shd w:val="clear" w:color="auto" w:fill="auto"/>
            <w:noWrap/>
            <w:vAlign w:val="bottom"/>
            <w:hideMark/>
          </w:tcPr>
          <w:p w14:paraId="66909E42" w14:textId="12D71D6F" w:rsidR="002441DF" w:rsidRPr="002441DF" w:rsidRDefault="00144A57" w:rsidP="00144A57">
            <w:pPr>
              <w:jc w:val="center"/>
              <w:rPr>
                <w:rFonts w:ascii="Arial" w:hAnsi="Arial" w:cs="Arial"/>
                <w:b/>
                <w:bCs/>
                <w:color w:val="000000"/>
                <w:sz w:val="18"/>
                <w:szCs w:val="18"/>
              </w:rPr>
            </w:pPr>
            <w:r>
              <w:rPr>
                <w:rFonts w:ascii="Arial" w:hAnsi="Arial" w:cs="Arial"/>
                <w:b/>
                <w:bCs/>
                <w:color w:val="000000"/>
                <w:sz w:val="18"/>
                <w:szCs w:val="18"/>
              </w:rPr>
              <w:t>H1/</w:t>
            </w:r>
            <w:r w:rsidR="002441DF" w:rsidRPr="002441DF">
              <w:rPr>
                <w:rFonts w:ascii="Arial" w:hAnsi="Arial" w:cs="Arial"/>
                <w:b/>
                <w:bCs/>
                <w:color w:val="000000"/>
                <w:sz w:val="18"/>
                <w:szCs w:val="18"/>
              </w:rPr>
              <w:t>2017²</w:t>
            </w:r>
          </w:p>
        </w:tc>
        <w:tc>
          <w:tcPr>
            <w:tcW w:w="964" w:type="dxa"/>
            <w:shd w:val="clear" w:color="auto" w:fill="auto"/>
            <w:noWrap/>
            <w:vAlign w:val="bottom"/>
            <w:hideMark/>
          </w:tcPr>
          <w:p w14:paraId="050018D7" w14:textId="533368E3" w:rsidR="002441DF" w:rsidRPr="002441DF" w:rsidRDefault="002441DF" w:rsidP="002441DF">
            <w:pPr>
              <w:jc w:val="center"/>
              <w:rPr>
                <w:rFonts w:ascii="Arial" w:hAnsi="Arial" w:cs="Arial"/>
                <w:b/>
                <w:bCs/>
                <w:color w:val="000000"/>
                <w:sz w:val="18"/>
                <w:szCs w:val="18"/>
              </w:rPr>
            </w:pPr>
            <w:r w:rsidRPr="002441DF">
              <w:rPr>
                <w:rFonts w:ascii="Arial" w:hAnsi="Arial" w:cs="Arial"/>
                <w:b/>
                <w:bCs/>
                <w:color w:val="000000"/>
                <w:sz w:val="18"/>
                <w:szCs w:val="18"/>
              </w:rPr>
              <w:t>Verän</w:t>
            </w:r>
            <w:r w:rsidRPr="002441DF">
              <w:rPr>
                <w:rFonts w:ascii="Arial" w:hAnsi="Arial" w:cs="Arial"/>
                <w:b/>
                <w:bCs/>
                <w:color w:val="000000"/>
                <w:sz w:val="18"/>
                <w:szCs w:val="18"/>
              </w:rPr>
              <w:softHyphen/>
              <w:t>derung</w:t>
            </w:r>
          </w:p>
        </w:tc>
      </w:tr>
      <w:tr w:rsidR="00144A57" w14:paraId="684E53F6" w14:textId="77777777" w:rsidTr="00144A57">
        <w:trPr>
          <w:trHeight w:val="255"/>
        </w:trPr>
        <w:tc>
          <w:tcPr>
            <w:tcW w:w="3114" w:type="dxa"/>
            <w:noWrap/>
            <w:vAlign w:val="center"/>
            <w:hideMark/>
          </w:tcPr>
          <w:p w14:paraId="09CB77B4" w14:textId="25B4BADE" w:rsidR="002441DF" w:rsidRPr="005214D7" w:rsidRDefault="002441DF" w:rsidP="005214D7">
            <w:pPr>
              <w:rPr>
                <w:rFonts w:ascii="Arial" w:hAnsi="Arial" w:cs="Arial"/>
                <w:color w:val="000000"/>
                <w:sz w:val="20"/>
                <w:szCs w:val="20"/>
              </w:rPr>
            </w:pPr>
            <w:r w:rsidRPr="005214D7">
              <w:rPr>
                <w:rFonts w:ascii="Arial" w:hAnsi="Arial" w:cs="Arial"/>
                <w:sz w:val="18"/>
                <w:szCs w:val="18"/>
              </w:rPr>
              <w:t>Umsatzerlöse [in M</w:t>
            </w:r>
            <w:r w:rsidRPr="005214D7">
              <w:rPr>
                <w:rFonts w:ascii="Arial" w:hAnsi="Arial" w:cs="Arial"/>
                <w:sz w:val="18"/>
                <w:szCs w:val="18"/>
                <w:lang w:val="it-IT"/>
              </w:rPr>
              <w:t>io. €]</w:t>
            </w:r>
          </w:p>
        </w:tc>
        <w:tc>
          <w:tcPr>
            <w:tcW w:w="907" w:type="dxa"/>
            <w:shd w:val="clear" w:color="auto" w:fill="auto"/>
            <w:noWrap/>
            <w:vAlign w:val="bottom"/>
            <w:hideMark/>
          </w:tcPr>
          <w:p w14:paraId="0EA96B14" w14:textId="43CB3C32"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1.326</w:t>
            </w:r>
          </w:p>
        </w:tc>
        <w:tc>
          <w:tcPr>
            <w:tcW w:w="907" w:type="dxa"/>
            <w:shd w:val="clear" w:color="auto" w:fill="auto"/>
            <w:noWrap/>
            <w:vAlign w:val="bottom"/>
            <w:hideMark/>
          </w:tcPr>
          <w:p w14:paraId="333E15D0" w14:textId="66D1159D" w:rsidR="002441DF" w:rsidRPr="002441DF" w:rsidRDefault="002441DF" w:rsidP="00401074">
            <w:pPr>
              <w:jc w:val="right"/>
              <w:rPr>
                <w:rFonts w:ascii="Arial" w:hAnsi="Arial" w:cs="Arial"/>
                <w:color w:val="000000"/>
                <w:sz w:val="18"/>
                <w:szCs w:val="18"/>
              </w:rPr>
            </w:pPr>
            <w:r w:rsidRPr="002441DF">
              <w:rPr>
                <w:rFonts w:ascii="Arial" w:hAnsi="Arial" w:cs="Arial"/>
                <w:color w:val="000000"/>
                <w:sz w:val="18"/>
                <w:szCs w:val="18"/>
              </w:rPr>
              <w:t>1.242</w:t>
            </w:r>
          </w:p>
        </w:tc>
        <w:tc>
          <w:tcPr>
            <w:tcW w:w="964" w:type="dxa"/>
            <w:shd w:val="clear" w:color="auto" w:fill="auto"/>
            <w:noWrap/>
            <w:vAlign w:val="bottom"/>
            <w:hideMark/>
          </w:tcPr>
          <w:p w14:paraId="3E319970"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6,8%</w:t>
            </w:r>
          </w:p>
        </w:tc>
        <w:tc>
          <w:tcPr>
            <w:tcW w:w="907" w:type="dxa"/>
            <w:shd w:val="clear" w:color="auto" w:fill="auto"/>
            <w:noWrap/>
            <w:vAlign w:val="bottom"/>
            <w:hideMark/>
          </w:tcPr>
          <w:p w14:paraId="7275A321" w14:textId="7E3724DD"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2.65</w:t>
            </w:r>
            <w:r w:rsidR="00401074">
              <w:rPr>
                <w:rFonts w:ascii="Arial" w:hAnsi="Arial" w:cs="Arial"/>
                <w:bCs/>
                <w:color w:val="000000"/>
                <w:sz w:val="18"/>
                <w:szCs w:val="18"/>
              </w:rPr>
              <w:t>4</w:t>
            </w:r>
          </w:p>
        </w:tc>
        <w:tc>
          <w:tcPr>
            <w:tcW w:w="907" w:type="dxa"/>
            <w:shd w:val="clear" w:color="auto" w:fill="auto"/>
            <w:noWrap/>
            <w:vAlign w:val="bottom"/>
            <w:hideMark/>
          </w:tcPr>
          <w:p w14:paraId="6DDA5E53" w14:textId="248E23A7"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2.464</w:t>
            </w:r>
          </w:p>
        </w:tc>
        <w:tc>
          <w:tcPr>
            <w:tcW w:w="964" w:type="dxa"/>
            <w:shd w:val="clear" w:color="auto" w:fill="auto"/>
            <w:noWrap/>
            <w:vAlign w:val="bottom"/>
            <w:hideMark/>
          </w:tcPr>
          <w:p w14:paraId="4FA782B6"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7,7%</w:t>
            </w:r>
          </w:p>
        </w:tc>
      </w:tr>
      <w:tr w:rsidR="00144A57" w14:paraId="0283259E" w14:textId="77777777" w:rsidTr="00144A57">
        <w:trPr>
          <w:trHeight w:val="255"/>
        </w:trPr>
        <w:tc>
          <w:tcPr>
            <w:tcW w:w="3114" w:type="dxa"/>
            <w:noWrap/>
            <w:vAlign w:val="center"/>
            <w:hideMark/>
          </w:tcPr>
          <w:p w14:paraId="1FF7E806" w14:textId="21729E40" w:rsidR="002441DF" w:rsidRPr="005214D7" w:rsidRDefault="002441DF" w:rsidP="005214D7">
            <w:pPr>
              <w:rPr>
                <w:rFonts w:ascii="Arial" w:hAnsi="Arial" w:cs="Arial"/>
                <w:color w:val="000000"/>
                <w:sz w:val="20"/>
                <w:szCs w:val="20"/>
              </w:rPr>
            </w:pPr>
            <w:r w:rsidRPr="005214D7">
              <w:rPr>
                <w:rFonts w:ascii="Arial" w:hAnsi="Arial" w:cs="Arial"/>
                <w:sz w:val="18"/>
                <w:szCs w:val="18"/>
              </w:rPr>
              <w:t xml:space="preserve">Ergebnis vor Zinsen, Steuern und Abschreibungen (EBITDA) [in Mio. </w:t>
            </w:r>
            <w:r w:rsidRPr="005214D7">
              <w:rPr>
                <w:rFonts w:ascii="Arial" w:hAnsi="Arial" w:cs="Arial"/>
                <w:sz w:val="18"/>
                <w:szCs w:val="18"/>
                <w:lang w:val="it-IT"/>
              </w:rPr>
              <w:t>€]</w:t>
            </w:r>
          </w:p>
        </w:tc>
        <w:tc>
          <w:tcPr>
            <w:tcW w:w="907" w:type="dxa"/>
            <w:shd w:val="clear" w:color="auto" w:fill="auto"/>
            <w:noWrap/>
            <w:vAlign w:val="bottom"/>
            <w:hideMark/>
          </w:tcPr>
          <w:p w14:paraId="2F12552A" w14:textId="7BFA90C3"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100</w:t>
            </w:r>
          </w:p>
        </w:tc>
        <w:tc>
          <w:tcPr>
            <w:tcW w:w="907" w:type="dxa"/>
            <w:shd w:val="clear" w:color="auto" w:fill="auto"/>
            <w:noWrap/>
            <w:vAlign w:val="bottom"/>
            <w:hideMark/>
          </w:tcPr>
          <w:p w14:paraId="3186404F" w14:textId="56907389" w:rsidR="002441DF" w:rsidRPr="002441DF" w:rsidRDefault="002441DF" w:rsidP="00401074">
            <w:pPr>
              <w:jc w:val="right"/>
              <w:rPr>
                <w:rFonts w:ascii="Arial" w:hAnsi="Arial" w:cs="Arial"/>
                <w:color w:val="000000"/>
                <w:sz w:val="18"/>
                <w:szCs w:val="18"/>
              </w:rPr>
            </w:pPr>
            <w:r w:rsidRPr="002441DF">
              <w:rPr>
                <w:rFonts w:ascii="Arial" w:hAnsi="Arial" w:cs="Arial"/>
                <w:color w:val="000000"/>
                <w:sz w:val="18"/>
                <w:szCs w:val="18"/>
              </w:rPr>
              <w:t>12</w:t>
            </w:r>
            <w:r w:rsidR="00401074">
              <w:rPr>
                <w:rFonts w:ascii="Arial" w:hAnsi="Arial" w:cs="Arial"/>
                <w:color w:val="000000"/>
                <w:sz w:val="18"/>
                <w:szCs w:val="18"/>
              </w:rPr>
              <w:t>5</w:t>
            </w:r>
          </w:p>
        </w:tc>
        <w:tc>
          <w:tcPr>
            <w:tcW w:w="964" w:type="dxa"/>
            <w:shd w:val="clear" w:color="auto" w:fill="auto"/>
            <w:noWrap/>
            <w:vAlign w:val="bottom"/>
            <w:hideMark/>
          </w:tcPr>
          <w:p w14:paraId="58BFDF65"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-19,4%</w:t>
            </w:r>
          </w:p>
        </w:tc>
        <w:tc>
          <w:tcPr>
            <w:tcW w:w="907" w:type="dxa"/>
            <w:shd w:val="clear" w:color="auto" w:fill="auto"/>
            <w:noWrap/>
            <w:vAlign w:val="bottom"/>
            <w:hideMark/>
          </w:tcPr>
          <w:p w14:paraId="55F973AD" w14:textId="7EAD41C8"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20</w:t>
            </w:r>
            <w:r w:rsidR="00401074">
              <w:rPr>
                <w:rFonts w:ascii="Arial" w:hAnsi="Arial" w:cs="Arial"/>
                <w:bCs/>
                <w:color w:val="000000"/>
                <w:sz w:val="18"/>
                <w:szCs w:val="18"/>
              </w:rPr>
              <w:t>1</w:t>
            </w:r>
          </w:p>
        </w:tc>
        <w:tc>
          <w:tcPr>
            <w:tcW w:w="907" w:type="dxa"/>
            <w:shd w:val="clear" w:color="auto" w:fill="auto"/>
            <w:noWrap/>
            <w:vAlign w:val="bottom"/>
            <w:hideMark/>
          </w:tcPr>
          <w:p w14:paraId="33C4CF31" w14:textId="57C18EE4"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21</w:t>
            </w:r>
            <w:r w:rsidR="00401074">
              <w:rPr>
                <w:rFonts w:ascii="Arial" w:hAnsi="Arial" w:cs="Arial"/>
                <w:bCs/>
                <w:color w:val="000000"/>
                <w:sz w:val="18"/>
                <w:szCs w:val="18"/>
              </w:rPr>
              <w:t>8</w:t>
            </w:r>
          </w:p>
        </w:tc>
        <w:tc>
          <w:tcPr>
            <w:tcW w:w="964" w:type="dxa"/>
            <w:shd w:val="clear" w:color="auto" w:fill="auto"/>
            <w:noWrap/>
            <w:vAlign w:val="bottom"/>
            <w:hideMark/>
          </w:tcPr>
          <w:p w14:paraId="5556EB06"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-7,7%</w:t>
            </w:r>
          </w:p>
        </w:tc>
      </w:tr>
      <w:tr w:rsidR="00144A57" w14:paraId="16F3FD1D" w14:textId="77777777" w:rsidTr="00144A57">
        <w:trPr>
          <w:trHeight w:val="255"/>
        </w:trPr>
        <w:tc>
          <w:tcPr>
            <w:tcW w:w="3114" w:type="dxa"/>
            <w:noWrap/>
            <w:vAlign w:val="center"/>
            <w:hideMark/>
          </w:tcPr>
          <w:p w14:paraId="7C46C91B" w14:textId="049F8438" w:rsidR="002441DF" w:rsidRPr="005214D7" w:rsidRDefault="002441DF" w:rsidP="005214D7">
            <w:pPr>
              <w:rPr>
                <w:rFonts w:ascii="Arial" w:hAnsi="Arial" w:cs="Arial"/>
                <w:color w:val="000000"/>
                <w:sz w:val="20"/>
                <w:szCs w:val="20"/>
              </w:rPr>
            </w:pPr>
            <w:r w:rsidRPr="005214D7">
              <w:rPr>
                <w:rFonts w:ascii="Arial" w:hAnsi="Arial" w:cs="Arial"/>
                <w:sz w:val="18"/>
                <w:szCs w:val="18"/>
              </w:rPr>
              <w:t xml:space="preserve">Ergebnis vor Zinsen und Steuern (EBIT) [in Mio. </w:t>
            </w:r>
            <w:r w:rsidRPr="005214D7">
              <w:rPr>
                <w:rFonts w:ascii="Arial" w:hAnsi="Arial" w:cs="Arial"/>
                <w:sz w:val="18"/>
                <w:szCs w:val="18"/>
                <w:lang w:val="it-IT"/>
              </w:rPr>
              <w:t>€]</w:t>
            </w:r>
          </w:p>
        </w:tc>
        <w:tc>
          <w:tcPr>
            <w:tcW w:w="907" w:type="dxa"/>
            <w:shd w:val="clear" w:color="auto" w:fill="auto"/>
            <w:noWrap/>
            <w:vAlign w:val="bottom"/>
            <w:hideMark/>
          </w:tcPr>
          <w:p w14:paraId="4253678B" w14:textId="379396C6"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62</w:t>
            </w:r>
          </w:p>
        </w:tc>
        <w:tc>
          <w:tcPr>
            <w:tcW w:w="907" w:type="dxa"/>
            <w:shd w:val="clear" w:color="auto" w:fill="auto"/>
            <w:noWrap/>
            <w:vAlign w:val="bottom"/>
            <w:hideMark/>
          </w:tcPr>
          <w:p w14:paraId="778554D5" w14:textId="340BEA85" w:rsidR="002441DF" w:rsidRPr="002441DF" w:rsidRDefault="002441DF" w:rsidP="00401074">
            <w:pPr>
              <w:jc w:val="right"/>
              <w:rPr>
                <w:rFonts w:ascii="Arial" w:hAnsi="Arial" w:cs="Arial"/>
                <w:color w:val="000000"/>
                <w:sz w:val="18"/>
                <w:szCs w:val="18"/>
              </w:rPr>
            </w:pPr>
            <w:r w:rsidRPr="002441DF">
              <w:rPr>
                <w:rFonts w:ascii="Arial" w:hAnsi="Arial" w:cs="Arial"/>
                <w:color w:val="000000"/>
                <w:sz w:val="18"/>
                <w:szCs w:val="18"/>
              </w:rPr>
              <w:t>8</w:t>
            </w:r>
            <w:r w:rsidR="00401074">
              <w:rPr>
                <w:rFonts w:ascii="Arial" w:hAnsi="Arial" w:cs="Arial"/>
                <w:color w:val="000000"/>
                <w:sz w:val="18"/>
                <w:szCs w:val="18"/>
              </w:rPr>
              <w:t>7</w:t>
            </w:r>
          </w:p>
        </w:tc>
        <w:tc>
          <w:tcPr>
            <w:tcW w:w="964" w:type="dxa"/>
            <w:shd w:val="clear" w:color="auto" w:fill="auto"/>
            <w:noWrap/>
            <w:vAlign w:val="bottom"/>
            <w:hideMark/>
          </w:tcPr>
          <w:p w14:paraId="1509FB55"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-28,3%</w:t>
            </w:r>
          </w:p>
        </w:tc>
        <w:tc>
          <w:tcPr>
            <w:tcW w:w="907" w:type="dxa"/>
            <w:shd w:val="clear" w:color="auto" w:fill="auto"/>
            <w:noWrap/>
            <w:vAlign w:val="bottom"/>
            <w:hideMark/>
          </w:tcPr>
          <w:p w14:paraId="65F72B5F" w14:textId="4830B9D2"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125</w:t>
            </w:r>
          </w:p>
        </w:tc>
        <w:tc>
          <w:tcPr>
            <w:tcW w:w="907" w:type="dxa"/>
            <w:shd w:val="clear" w:color="auto" w:fill="auto"/>
            <w:noWrap/>
            <w:vAlign w:val="bottom"/>
            <w:hideMark/>
          </w:tcPr>
          <w:p w14:paraId="18D6E5EE" w14:textId="10558E66"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142</w:t>
            </w:r>
          </w:p>
        </w:tc>
        <w:tc>
          <w:tcPr>
            <w:tcW w:w="964" w:type="dxa"/>
            <w:shd w:val="clear" w:color="auto" w:fill="auto"/>
            <w:noWrap/>
            <w:vAlign w:val="bottom"/>
            <w:hideMark/>
          </w:tcPr>
          <w:p w14:paraId="2D32F529"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-12,2%</w:t>
            </w:r>
          </w:p>
        </w:tc>
      </w:tr>
      <w:tr w:rsidR="00144A57" w14:paraId="11615409" w14:textId="77777777" w:rsidTr="00144A57">
        <w:trPr>
          <w:trHeight w:val="285"/>
        </w:trPr>
        <w:tc>
          <w:tcPr>
            <w:tcW w:w="3114" w:type="dxa"/>
            <w:noWrap/>
            <w:vAlign w:val="center"/>
            <w:hideMark/>
          </w:tcPr>
          <w:p w14:paraId="2942057F" w14:textId="41B3C5E4" w:rsidR="002441DF" w:rsidRPr="005214D7" w:rsidRDefault="002441DF" w:rsidP="005214D7">
            <w:pPr>
              <w:rPr>
                <w:rFonts w:ascii="Arial" w:hAnsi="Arial" w:cs="Arial"/>
                <w:color w:val="000000"/>
                <w:sz w:val="20"/>
                <w:szCs w:val="20"/>
              </w:rPr>
            </w:pPr>
            <w:r w:rsidRPr="005214D7">
              <w:rPr>
                <w:rFonts w:ascii="Arial" w:hAnsi="Arial" w:cs="Arial"/>
                <w:sz w:val="18"/>
                <w:szCs w:val="18"/>
              </w:rPr>
              <w:t>Bereinigtes EBIT</w:t>
            </w:r>
            <w:r w:rsidRPr="005214D7">
              <w:rPr>
                <w:rFonts w:ascii="Arial" w:hAnsi="Arial" w:cs="Arial"/>
                <w:sz w:val="18"/>
                <w:szCs w:val="18"/>
                <w:vertAlign w:val="superscript"/>
              </w:rPr>
              <w:t>1</w:t>
            </w:r>
            <w:r w:rsidRPr="005214D7">
              <w:rPr>
                <w:rFonts w:ascii="Arial" w:hAnsi="Arial" w:cs="Arial"/>
                <w:sz w:val="18"/>
                <w:szCs w:val="18"/>
              </w:rPr>
              <w:t xml:space="preserve"> [in Mio. </w:t>
            </w:r>
            <w:r w:rsidRPr="005214D7">
              <w:rPr>
                <w:rFonts w:ascii="Arial" w:hAnsi="Arial" w:cs="Arial"/>
                <w:sz w:val="18"/>
                <w:szCs w:val="18"/>
                <w:lang w:val="it-IT"/>
              </w:rPr>
              <w:t>€]</w:t>
            </w:r>
          </w:p>
        </w:tc>
        <w:tc>
          <w:tcPr>
            <w:tcW w:w="907" w:type="dxa"/>
            <w:shd w:val="clear" w:color="auto" w:fill="auto"/>
            <w:noWrap/>
            <w:vAlign w:val="bottom"/>
            <w:hideMark/>
          </w:tcPr>
          <w:p w14:paraId="0D41232E" w14:textId="3D44A21E"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6</w:t>
            </w:r>
            <w:r w:rsidR="00401074">
              <w:rPr>
                <w:rFonts w:ascii="Arial" w:hAnsi="Arial" w:cs="Arial"/>
                <w:bCs/>
                <w:color w:val="000000"/>
                <w:sz w:val="18"/>
                <w:szCs w:val="18"/>
              </w:rPr>
              <w:t>4</w:t>
            </w:r>
          </w:p>
        </w:tc>
        <w:tc>
          <w:tcPr>
            <w:tcW w:w="907" w:type="dxa"/>
            <w:shd w:val="clear" w:color="auto" w:fill="auto"/>
            <w:noWrap/>
            <w:vAlign w:val="bottom"/>
            <w:hideMark/>
          </w:tcPr>
          <w:p w14:paraId="74DAA053" w14:textId="0D0C222F" w:rsidR="002441DF" w:rsidRPr="002441DF" w:rsidRDefault="002441DF" w:rsidP="00401074">
            <w:pPr>
              <w:jc w:val="right"/>
              <w:rPr>
                <w:rFonts w:ascii="Arial" w:hAnsi="Arial" w:cs="Arial"/>
                <w:color w:val="000000"/>
                <w:sz w:val="18"/>
                <w:szCs w:val="18"/>
              </w:rPr>
            </w:pPr>
            <w:r w:rsidRPr="002441DF">
              <w:rPr>
                <w:rFonts w:ascii="Arial" w:hAnsi="Arial" w:cs="Arial"/>
                <w:color w:val="000000"/>
                <w:sz w:val="18"/>
                <w:szCs w:val="18"/>
              </w:rPr>
              <w:t>65</w:t>
            </w:r>
          </w:p>
        </w:tc>
        <w:tc>
          <w:tcPr>
            <w:tcW w:w="964" w:type="dxa"/>
            <w:shd w:val="clear" w:color="auto" w:fill="auto"/>
            <w:noWrap/>
            <w:vAlign w:val="bottom"/>
            <w:hideMark/>
          </w:tcPr>
          <w:p w14:paraId="3EBA87AB"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-2,0%</w:t>
            </w:r>
          </w:p>
        </w:tc>
        <w:tc>
          <w:tcPr>
            <w:tcW w:w="907" w:type="dxa"/>
            <w:shd w:val="clear" w:color="auto" w:fill="auto"/>
            <w:noWrap/>
            <w:vAlign w:val="bottom"/>
            <w:hideMark/>
          </w:tcPr>
          <w:p w14:paraId="5EADC99E" w14:textId="25880AEA"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128</w:t>
            </w:r>
          </w:p>
        </w:tc>
        <w:tc>
          <w:tcPr>
            <w:tcW w:w="907" w:type="dxa"/>
            <w:shd w:val="clear" w:color="auto" w:fill="auto"/>
            <w:noWrap/>
            <w:vAlign w:val="bottom"/>
            <w:hideMark/>
          </w:tcPr>
          <w:p w14:paraId="7EDDCA96" w14:textId="6F17826E"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1</w:t>
            </w:r>
            <w:r w:rsidR="00401074">
              <w:rPr>
                <w:rFonts w:ascii="Arial" w:hAnsi="Arial" w:cs="Arial"/>
                <w:bCs/>
                <w:color w:val="000000"/>
                <w:sz w:val="18"/>
                <w:szCs w:val="18"/>
              </w:rPr>
              <w:t>20</w:t>
            </w:r>
          </w:p>
        </w:tc>
        <w:tc>
          <w:tcPr>
            <w:tcW w:w="964" w:type="dxa"/>
            <w:shd w:val="clear" w:color="auto" w:fill="auto"/>
            <w:noWrap/>
            <w:vAlign w:val="bottom"/>
            <w:hideMark/>
          </w:tcPr>
          <w:p w14:paraId="4B442C39"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7,1%</w:t>
            </w:r>
          </w:p>
        </w:tc>
      </w:tr>
      <w:tr w:rsidR="00144A57" w14:paraId="117E966C" w14:textId="77777777" w:rsidTr="00144A57">
        <w:trPr>
          <w:trHeight w:val="255"/>
        </w:trPr>
        <w:tc>
          <w:tcPr>
            <w:tcW w:w="3114" w:type="dxa"/>
            <w:noWrap/>
            <w:vAlign w:val="center"/>
            <w:hideMark/>
          </w:tcPr>
          <w:p w14:paraId="5DE1A221" w14:textId="4DB0064C" w:rsidR="002441DF" w:rsidRPr="005214D7" w:rsidRDefault="002441DF" w:rsidP="005214D7">
            <w:pPr>
              <w:rPr>
                <w:rFonts w:ascii="Arial" w:hAnsi="Arial" w:cs="Arial"/>
                <w:color w:val="000000"/>
                <w:sz w:val="20"/>
                <w:szCs w:val="20"/>
              </w:rPr>
            </w:pPr>
            <w:r w:rsidRPr="005214D7">
              <w:rPr>
                <w:rFonts w:ascii="Arial" w:hAnsi="Arial" w:cs="Arial"/>
                <w:sz w:val="18"/>
                <w:szCs w:val="18"/>
              </w:rPr>
              <w:t>Konzernüberschuss [M</w:t>
            </w:r>
            <w:r w:rsidRPr="005214D7">
              <w:rPr>
                <w:rFonts w:ascii="Arial" w:hAnsi="Arial" w:cs="Arial"/>
                <w:sz w:val="18"/>
                <w:szCs w:val="18"/>
                <w:lang w:val="it-IT"/>
              </w:rPr>
              <w:t>io. €]</w:t>
            </w:r>
          </w:p>
        </w:tc>
        <w:tc>
          <w:tcPr>
            <w:tcW w:w="907" w:type="dxa"/>
            <w:shd w:val="clear" w:color="auto" w:fill="auto"/>
            <w:noWrap/>
            <w:vAlign w:val="bottom"/>
            <w:hideMark/>
          </w:tcPr>
          <w:p w14:paraId="3D1D2C79" w14:textId="73F3A47A"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4</w:t>
            </w:r>
            <w:r w:rsidR="00401074">
              <w:rPr>
                <w:rFonts w:ascii="Arial" w:hAnsi="Arial" w:cs="Arial"/>
                <w:bCs/>
                <w:color w:val="000000"/>
                <w:sz w:val="18"/>
                <w:szCs w:val="18"/>
              </w:rPr>
              <w:t>1</w:t>
            </w:r>
          </w:p>
        </w:tc>
        <w:tc>
          <w:tcPr>
            <w:tcW w:w="907" w:type="dxa"/>
            <w:shd w:val="clear" w:color="auto" w:fill="auto"/>
            <w:noWrap/>
            <w:vAlign w:val="bottom"/>
            <w:hideMark/>
          </w:tcPr>
          <w:p w14:paraId="67DB813C" w14:textId="64F9D986" w:rsidR="002441DF" w:rsidRPr="002441DF" w:rsidRDefault="002441DF" w:rsidP="00401074">
            <w:pPr>
              <w:jc w:val="right"/>
              <w:rPr>
                <w:rFonts w:ascii="Arial" w:hAnsi="Arial" w:cs="Arial"/>
                <w:color w:val="000000"/>
                <w:sz w:val="18"/>
                <w:szCs w:val="18"/>
              </w:rPr>
            </w:pPr>
            <w:r w:rsidRPr="002441DF">
              <w:rPr>
                <w:rFonts w:ascii="Arial" w:hAnsi="Arial" w:cs="Arial"/>
                <w:color w:val="000000"/>
                <w:sz w:val="18"/>
                <w:szCs w:val="18"/>
              </w:rPr>
              <w:t>61</w:t>
            </w:r>
          </w:p>
        </w:tc>
        <w:tc>
          <w:tcPr>
            <w:tcW w:w="964" w:type="dxa"/>
            <w:shd w:val="clear" w:color="auto" w:fill="auto"/>
            <w:noWrap/>
            <w:vAlign w:val="bottom"/>
            <w:hideMark/>
          </w:tcPr>
          <w:p w14:paraId="0E7E7EBC"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-33,3%</w:t>
            </w:r>
          </w:p>
        </w:tc>
        <w:tc>
          <w:tcPr>
            <w:tcW w:w="907" w:type="dxa"/>
            <w:shd w:val="clear" w:color="auto" w:fill="auto"/>
            <w:noWrap/>
            <w:vAlign w:val="bottom"/>
            <w:hideMark/>
          </w:tcPr>
          <w:p w14:paraId="52A21583" w14:textId="601AD799"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84</w:t>
            </w:r>
          </w:p>
        </w:tc>
        <w:tc>
          <w:tcPr>
            <w:tcW w:w="907" w:type="dxa"/>
            <w:shd w:val="clear" w:color="auto" w:fill="auto"/>
            <w:noWrap/>
            <w:vAlign w:val="bottom"/>
            <w:hideMark/>
          </w:tcPr>
          <w:p w14:paraId="7EC9EFCD" w14:textId="00CDF455"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9</w:t>
            </w:r>
            <w:r w:rsidR="00401074">
              <w:rPr>
                <w:rFonts w:ascii="Arial" w:hAnsi="Arial" w:cs="Arial"/>
                <w:bCs/>
                <w:color w:val="000000"/>
                <w:sz w:val="18"/>
                <w:szCs w:val="18"/>
              </w:rPr>
              <w:t>8</w:t>
            </w:r>
          </w:p>
        </w:tc>
        <w:tc>
          <w:tcPr>
            <w:tcW w:w="964" w:type="dxa"/>
            <w:shd w:val="clear" w:color="auto" w:fill="auto"/>
            <w:noWrap/>
            <w:vAlign w:val="bottom"/>
            <w:hideMark/>
          </w:tcPr>
          <w:p w14:paraId="6955893B"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-13,7%</w:t>
            </w:r>
          </w:p>
        </w:tc>
      </w:tr>
      <w:tr w:rsidR="00144A57" w14:paraId="38E8B6BD" w14:textId="77777777" w:rsidTr="00144A57">
        <w:trPr>
          <w:trHeight w:val="255"/>
        </w:trPr>
        <w:tc>
          <w:tcPr>
            <w:tcW w:w="3114" w:type="dxa"/>
            <w:noWrap/>
            <w:vAlign w:val="center"/>
            <w:hideMark/>
          </w:tcPr>
          <w:p w14:paraId="405D559F" w14:textId="7A634386" w:rsidR="002441DF" w:rsidRPr="005214D7" w:rsidRDefault="002441DF" w:rsidP="005214D7">
            <w:pPr>
              <w:rPr>
                <w:rFonts w:ascii="Arial" w:hAnsi="Arial" w:cs="Arial"/>
                <w:color w:val="000000"/>
                <w:sz w:val="20"/>
                <w:szCs w:val="20"/>
              </w:rPr>
            </w:pPr>
            <w:r w:rsidRPr="005214D7">
              <w:rPr>
                <w:rFonts w:ascii="Arial" w:hAnsi="Arial" w:cs="Arial"/>
                <w:sz w:val="18"/>
                <w:szCs w:val="18"/>
              </w:rPr>
              <w:t>Ergebnis je Aktie [in €]</w:t>
            </w:r>
          </w:p>
        </w:tc>
        <w:tc>
          <w:tcPr>
            <w:tcW w:w="907" w:type="dxa"/>
            <w:shd w:val="clear" w:color="auto" w:fill="auto"/>
            <w:noWrap/>
            <w:vAlign w:val="bottom"/>
            <w:hideMark/>
          </w:tcPr>
          <w:p w14:paraId="44A0A1F4"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1,29</w:t>
            </w:r>
          </w:p>
        </w:tc>
        <w:tc>
          <w:tcPr>
            <w:tcW w:w="907" w:type="dxa"/>
            <w:shd w:val="clear" w:color="auto" w:fill="auto"/>
            <w:noWrap/>
            <w:vAlign w:val="bottom"/>
            <w:hideMark/>
          </w:tcPr>
          <w:p w14:paraId="6B3CFAAC"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1,88</w:t>
            </w:r>
          </w:p>
        </w:tc>
        <w:tc>
          <w:tcPr>
            <w:tcW w:w="964" w:type="dxa"/>
            <w:shd w:val="clear" w:color="auto" w:fill="auto"/>
            <w:noWrap/>
            <w:vAlign w:val="bottom"/>
            <w:hideMark/>
          </w:tcPr>
          <w:p w14:paraId="7214434E"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-31,4%</w:t>
            </w:r>
          </w:p>
        </w:tc>
        <w:tc>
          <w:tcPr>
            <w:tcW w:w="907" w:type="dxa"/>
            <w:shd w:val="clear" w:color="auto" w:fill="auto"/>
            <w:noWrap/>
            <w:vAlign w:val="bottom"/>
            <w:hideMark/>
          </w:tcPr>
          <w:p w14:paraId="227C20BD"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2,63</w:t>
            </w:r>
          </w:p>
        </w:tc>
        <w:tc>
          <w:tcPr>
            <w:tcW w:w="907" w:type="dxa"/>
            <w:shd w:val="clear" w:color="auto" w:fill="auto"/>
            <w:noWrap/>
            <w:vAlign w:val="bottom"/>
            <w:hideMark/>
          </w:tcPr>
          <w:p w14:paraId="2BEBC519"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2,99</w:t>
            </w:r>
          </w:p>
        </w:tc>
        <w:tc>
          <w:tcPr>
            <w:tcW w:w="964" w:type="dxa"/>
            <w:shd w:val="clear" w:color="auto" w:fill="auto"/>
            <w:noWrap/>
            <w:vAlign w:val="bottom"/>
            <w:hideMark/>
          </w:tcPr>
          <w:p w14:paraId="6AE39C1B"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-12,0%</w:t>
            </w:r>
          </w:p>
        </w:tc>
      </w:tr>
      <w:tr w:rsidR="00144A57" w14:paraId="33F87467" w14:textId="77777777" w:rsidTr="00144A57">
        <w:trPr>
          <w:trHeight w:val="255"/>
        </w:trPr>
        <w:tc>
          <w:tcPr>
            <w:tcW w:w="3114" w:type="dxa"/>
            <w:noWrap/>
            <w:vAlign w:val="center"/>
            <w:hideMark/>
          </w:tcPr>
          <w:p w14:paraId="52B73F1C" w14:textId="3A24AAC9" w:rsidR="002441DF" w:rsidRPr="005214D7" w:rsidRDefault="002441DF" w:rsidP="005214D7">
            <w:pPr>
              <w:rPr>
                <w:rFonts w:ascii="Arial" w:hAnsi="Arial" w:cs="Arial"/>
                <w:color w:val="000000"/>
                <w:sz w:val="20"/>
                <w:szCs w:val="20"/>
              </w:rPr>
            </w:pPr>
            <w:r w:rsidRPr="005214D7">
              <w:rPr>
                <w:rFonts w:ascii="Arial" w:hAnsi="Arial" w:cs="Arial"/>
                <w:sz w:val="18"/>
                <w:szCs w:val="18"/>
              </w:rPr>
              <w:t>Free Cashflow [in M</w:t>
            </w:r>
            <w:r w:rsidRPr="005214D7">
              <w:rPr>
                <w:rFonts w:ascii="Arial" w:hAnsi="Arial" w:cs="Arial"/>
                <w:sz w:val="18"/>
                <w:szCs w:val="18"/>
                <w:lang w:val="it-IT"/>
              </w:rPr>
              <w:t>io. €]</w:t>
            </w:r>
          </w:p>
        </w:tc>
        <w:tc>
          <w:tcPr>
            <w:tcW w:w="907" w:type="dxa"/>
            <w:shd w:val="clear" w:color="auto" w:fill="auto"/>
            <w:noWrap/>
            <w:vAlign w:val="bottom"/>
            <w:hideMark/>
          </w:tcPr>
          <w:p w14:paraId="356FABFE" w14:textId="78231BFF"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-29</w:t>
            </w:r>
          </w:p>
        </w:tc>
        <w:tc>
          <w:tcPr>
            <w:tcW w:w="907" w:type="dxa"/>
            <w:shd w:val="clear" w:color="auto" w:fill="auto"/>
            <w:noWrap/>
            <w:vAlign w:val="bottom"/>
            <w:hideMark/>
          </w:tcPr>
          <w:p w14:paraId="0771C11D" w14:textId="75F5EB8A" w:rsidR="002441DF" w:rsidRPr="002441DF" w:rsidRDefault="002441DF" w:rsidP="00401074">
            <w:pPr>
              <w:jc w:val="right"/>
              <w:rPr>
                <w:rFonts w:ascii="Arial" w:hAnsi="Arial" w:cs="Arial"/>
                <w:color w:val="000000"/>
                <w:sz w:val="18"/>
                <w:szCs w:val="18"/>
              </w:rPr>
            </w:pPr>
            <w:r w:rsidRPr="002441DF">
              <w:rPr>
                <w:rFonts w:ascii="Arial" w:hAnsi="Arial" w:cs="Arial"/>
                <w:color w:val="000000"/>
                <w:sz w:val="18"/>
                <w:szCs w:val="18"/>
              </w:rPr>
              <w:t>4</w:t>
            </w:r>
            <w:r w:rsidR="00401074">
              <w:rPr>
                <w:rFonts w:ascii="Arial" w:hAnsi="Arial" w:cs="Arial"/>
                <w:color w:val="000000"/>
                <w:sz w:val="18"/>
                <w:szCs w:val="18"/>
              </w:rPr>
              <w:t>4</w:t>
            </w:r>
          </w:p>
        </w:tc>
        <w:tc>
          <w:tcPr>
            <w:tcW w:w="964" w:type="dxa"/>
            <w:shd w:val="clear" w:color="auto" w:fill="auto"/>
            <w:noWrap/>
            <w:vAlign w:val="bottom"/>
            <w:hideMark/>
          </w:tcPr>
          <w:p w14:paraId="4C6F3745" w14:textId="0BC4EB30" w:rsidR="002441DF" w:rsidRPr="002441DF" w:rsidRDefault="004215F4" w:rsidP="00401074">
            <w:pPr>
              <w:jc w:val="right"/>
              <w:rPr>
                <w:rFonts w:ascii="Arial" w:hAnsi="Arial" w:cs="Arial"/>
                <w:color w:val="000000"/>
                <w:sz w:val="18"/>
                <w:szCs w:val="18"/>
              </w:rPr>
            </w:pPr>
            <w:r>
              <w:rPr>
                <w:rFonts w:ascii="Arial" w:hAnsi="Arial" w:cs="Arial"/>
                <w:color w:val="000000"/>
                <w:sz w:val="18"/>
                <w:szCs w:val="18"/>
              </w:rPr>
              <w:t>-</w:t>
            </w:r>
            <w:r w:rsidR="00AE3A20">
              <w:rPr>
                <w:rFonts w:ascii="Arial" w:hAnsi="Arial" w:cs="Arial"/>
                <w:color w:val="000000"/>
                <w:sz w:val="18"/>
                <w:szCs w:val="18"/>
              </w:rPr>
              <w:t xml:space="preserve"> </w:t>
            </w:r>
            <w:r w:rsidR="002441DF" w:rsidRPr="002441DF">
              <w:rPr>
                <w:rFonts w:ascii="Arial" w:hAnsi="Arial" w:cs="Arial"/>
                <w:color w:val="000000"/>
                <w:sz w:val="18"/>
                <w:szCs w:val="18"/>
              </w:rPr>
              <w:t>&gt;100,0</w:t>
            </w:r>
            <w:r w:rsidR="006A6939">
              <w:rPr>
                <w:rFonts w:ascii="Arial" w:hAnsi="Arial" w:cs="Arial"/>
                <w:color w:val="000000"/>
                <w:sz w:val="18"/>
                <w:szCs w:val="18"/>
              </w:rPr>
              <w:t>%</w:t>
            </w:r>
          </w:p>
        </w:tc>
        <w:tc>
          <w:tcPr>
            <w:tcW w:w="907" w:type="dxa"/>
            <w:shd w:val="clear" w:color="auto" w:fill="auto"/>
            <w:noWrap/>
            <w:vAlign w:val="bottom"/>
            <w:hideMark/>
          </w:tcPr>
          <w:p w14:paraId="09842DA8" w14:textId="73E75A37"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-140</w:t>
            </w:r>
          </w:p>
        </w:tc>
        <w:tc>
          <w:tcPr>
            <w:tcW w:w="907" w:type="dxa"/>
            <w:shd w:val="clear" w:color="auto" w:fill="auto"/>
            <w:noWrap/>
            <w:vAlign w:val="bottom"/>
            <w:hideMark/>
          </w:tcPr>
          <w:p w14:paraId="3B0B8067" w14:textId="0C92D2C6" w:rsidR="002441DF" w:rsidRPr="002441DF" w:rsidRDefault="002441DF" w:rsidP="00401074">
            <w:pPr>
              <w:jc w:val="right"/>
              <w:rPr>
                <w:rFonts w:ascii="Arial" w:hAnsi="Arial" w:cs="Arial"/>
                <w:bCs/>
                <w:color w:val="000000"/>
                <w:sz w:val="18"/>
                <w:szCs w:val="18"/>
              </w:rPr>
            </w:pPr>
            <w:r w:rsidRPr="006A6939">
              <w:rPr>
                <w:rFonts w:ascii="Arial" w:hAnsi="Arial" w:cs="Arial"/>
                <w:bCs/>
                <w:color w:val="000000"/>
                <w:sz w:val="18"/>
                <w:szCs w:val="18"/>
              </w:rPr>
              <w:t>-27</w:t>
            </w:r>
          </w:p>
        </w:tc>
        <w:tc>
          <w:tcPr>
            <w:tcW w:w="964" w:type="dxa"/>
            <w:shd w:val="clear" w:color="auto" w:fill="auto"/>
            <w:noWrap/>
            <w:vAlign w:val="bottom"/>
            <w:hideMark/>
          </w:tcPr>
          <w:p w14:paraId="01AF0FA9" w14:textId="26A72D11" w:rsidR="002441DF" w:rsidRPr="002441DF" w:rsidRDefault="004215F4" w:rsidP="00401074">
            <w:pPr>
              <w:jc w:val="right"/>
              <w:rPr>
                <w:rFonts w:ascii="Arial" w:hAnsi="Arial" w:cs="Arial"/>
                <w:bCs/>
                <w:color w:val="000000"/>
                <w:sz w:val="18"/>
                <w:szCs w:val="18"/>
              </w:rPr>
            </w:pPr>
            <w:r>
              <w:rPr>
                <w:rFonts w:ascii="Arial" w:hAnsi="Arial" w:cs="Arial"/>
                <w:bCs/>
                <w:color w:val="000000"/>
                <w:sz w:val="18"/>
                <w:szCs w:val="18"/>
              </w:rPr>
              <w:t>-</w:t>
            </w:r>
            <w:r w:rsidR="00AE3A20">
              <w:rPr>
                <w:rFonts w:ascii="Arial" w:hAnsi="Arial" w:cs="Arial"/>
                <w:bCs/>
                <w:color w:val="000000"/>
                <w:sz w:val="18"/>
                <w:szCs w:val="18"/>
              </w:rPr>
              <w:t xml:space="preserve"> </w:t>
            </w:r>
            <w:r w:rsidR="002441DF" w:rsidRPr="002441DF">
              <w:rPr>
                <w:rFonts w:ascii="Arial" w:hAnsi="Arial" w:cs="Arial"/>
                <w:bCs/>
                <w:color w:val="000000"/>
                <w:sz w:val="18"/>
                <w:szCs w:val="18"/>
              </w:rPr>
              <w:t>&gt;100,0</w:t>
            </w:r>
            <w:r w:rsidR="006A6939">
              <w:rPr>
                <w:rFonts w:ascii="Arial" w:hAnsi="Arial" w:cs="Arial"/>
                <w:bCs/>
                <w:color w:val="000000"/>
                <w:sz w:val="18"/>
                <w:szCs w:val="18"/>
              </w:rPr>
              <w:t xml:space="preserve"> %</w:t>
            </w:r>
          </w:p>
        </w:tc>
      </w:tr>
      <w:tr w:rsidR="00144A57" w14:paraId="7BABB40B" w14:textId="77777777" w:rsidTr="00144A57">
        <w:trPr>
          <w:trHeight w:val="255"/>
        </w:trPr>
        <w:tc>
          <w:tcPr>
            <w:tcW w:w="3114" w:type="dxa"/>
            <w:noWrap/>
            <w:vAlign w:val="center"/>
            <w:hideMark/>
          </w:tcPr>
          <w:p w14:paraId="5D965B20" w14:textId="654AA51B" w:rsidR="002441DF" w:rsidRPr="005214D7" w:rsidRDefault="002441DF" w:rsidP="005214D7">
            <w:pPr>
              <w:rPr>
                <w:rFonts w:ascii="Arial" w:hAnsi="Arial" w:cs="Arial"/>
                <w:color w:val="000000"/>
                <w:sz w:val="20"/>
                <w:szCs w:val="20"/>
              </w:rPr>
            </w:pPr>
            <w:r w:rsidRPr="005214D7">
              <w:rPr>
                <w:rFonts w:ascii="Arial" w:hAnsi="Arial" w:cs="Arial"/>
                <w:sz w:val="18"/>
                <w:szCs w:val="18"/>
              </w:rPr>
              <w:t>Investitionen [in M</w:t>
            </w:r>
            <w:r w:rsidRPr="005214D7">
              <w:rPr>
                <w:rFonts w:ascii="Arial" w:hAnsi="Arial" w:cs="Arial"/>
                <w:sz w:val="18"/>
                <w:szCs w:val="18"/>
                <w:lang w:val="it-IT"/>
              </w:rPr>
              <w:t>io. €]</w:t>
            </w:r>
          </w:p>
        </w:tc>
        <w:tc>
          <w:tcPr>
            <w:tcW w:w="907" w:type="dxa"/>
            <w:shd w:val="clear" w:color="auto" w:fill="auto"/>
            <w:noWrap/>
            <w:vAlign w:val="bottom"/>
            <w:hideMark/>
          </w:tcPr>
          <w:p w14:paraId="72BA6E73" w14:textId="368FA515" w:rsidR="002441DF" w:rsidRPr="002441DF" w:rsidRDefault="00401074" w:rsidP="00401074">
            <w:pPr>
              <w:jc w:val="right"/>
              <w:rPr>
                <w:rFonts w:ascii="Arial" w:hAnsi="Arial" w:cs="Arial"/>
                <w:bCs/>
                <w:color w:val="000000"/>
                <w:sz w:val="18"/>
                <w:szCs w:val="18"/>
              </w:rPr>
            </w:pPr>
            <w:r>
              <w:rPr>
                <w:rFonts w:ascii="Arial" w:hAnsi="Arial" w:cs="Arial"/>
                <w:bCs/>
                <w:color w:val="000000"/>
                <w:sz w:val="18"/>
                <w:szCs w:val="18"/>
              </w:rPr>
              <w:t>70</w:t>
            </w:r>
          </w:p>
        </w:tc>
        <w:tc>
          <w:tcPr>
            <w:tcW w:w="907" w:type="dxa"/>
            <w:shd w:val="clear" w:color="auto" w:fill="auto"/>
            <w:noWrap/>
            <w:vAlign w:val="bottom"/>
            <w:hideMark/>
          </w:tcPr>
          <w:p w14:paraId="37D7665A" w14:textId="3FBCEB60" w:rsidR="002441DF" w:rsidRPr="002441DF" w:rsidRDefault="002441DF" w:rsidP="00401074">
            <w:pPr>
              <w:jc w:val="right"/>
              <w:rPr>
                <w:rFonts w:ascii="Arial" w:hAnsi="Arial" w:cs="Arial"/>
                <w:sz w:val="18"/>
                <w:szCs w:val="18"/>
              </w:rPr>
            </w:pPr>
            <w:r w:rsidRPr="002441DF">
              <w:rPr>
                <w:rFonts w:ascii="Arial" w:hAnsi="Arial" w:cs="Arial"/>
                <w:sz w:val="18"/>
                <w:szCs w:val="18"/>
              </w:rPr>
              <w:t>69</w:t>
            </w:r>
          </w:p>
        </w:tc>
        <w:tc>
          <w:tcPr>
            <w:tcW w:w="964" w:type="dxa"/>
            <w:shd w:val="clear" w:color="auto" w:fill="auto"/>
            <w:noWrap/>
            <w:vAlign w:val="bottom"/>
            <w:hideMark/>
          </w:tcPr>
          <w:p w14:paraId="5179D4C1"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0,6%</w:t>
            </w:r>
          </w:p>
        </w:tc>
        <w:tc>
          <w:tcPr>
            <w:tcW w:w="907" w:type="dxa"/>
            <w:shd w:val="clear" w:color="auto" w:fill="auto"/>
            <w:noWrap/>
            <w:vAlign w:val="bottom"/>
            <w:hideMark/>
          </w:tcPr>
          <w:p w14:paraId="467BFCA3" w14:textId="4D9E860F"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12</w:t>
            </w:r>
            <w:r w:rsidR="00401074">
              <w:rPr>
                <w:rFonts w:ascii="Arial" w:hAnsi="Arial" w:cs="Arial"/>
                <w:bCs/>
                <w:color w:val="000000"/>
                <w:sz w:val="18"/>
                <w:szCs w:val="18"/>
              </w:rPr>
              <w:t>7</w:t>
            </w:r>
          </w:p>
        </w:tc>
        <w:tc>
          <w:tcPr>
            <w:tcW w:w="907" w:type="dxa"/>
            <w:shd w:val="clear" w:color="auto" w:fill="auto"/>
            <w:noWrap/>
            <w:vAlign w:val="bottom"/>
            <w:hideMark/>
          </w:tcPr>
          <w:p w14:paraId="61E23047" w14:textId="5589D287" w:rsidR="002441DF" w:rsidRPr="002441DF" w:rsidRDefault="002441DF" w:rsidP="00401074">
            <w:pPr>
              <w:jc w:val="right"/>
              <w:rPr>
                <w:rFonts w:ascii="Arial" w:hAnsi="Arial" w:cs="Arial"/>
                <w:bCs/>
                <w:color w:val="000000"/>
                <w:sz w:val="18"/>
                <w:szCs w:val="18"/>
              </w:rPr>
            </w:pPr>
            <w:r w:rsidRPr="002441DF">
              <w:rPr>
                <w:rFonts w:ascii="Arial" w:hAnsi="Arial" w:cs="Arial"/>
                <w:bCs/>
                <w:color w:val="000000"/>
                <w:sz w:val="18"/>
                <w:szCs w:val="18"/>
              </w:rPr>
              <w:t>11</w:t>
            </w:r>
            <w:r w:rsidR="00401074">
              <w:rPr>
                <w:rFonts w:ascii="Arial" w:hAnsi="Arial" w:cs="Arial"/>
                <w:bCs/>
                <w:color w:val="000000"/>
                <w:sz w:val="18"/>
                <w:szCs w:val="18"/>
              </w:rPr>
              <w:t>6</w:t>
            </w:r>
          </w:p>
        </w:tc>
        <w:tc>
          <w:tcPr>
            <w:tcW w:w="964" w:type="dxa"/>
            <w:shd w:val="clear" w:color="auto" w:fill="auto"/>
            <w:noWrap/>
            <w:vAlign w:val="bottom"/>
            <w:hideMark/>
          </w:tcPr>
          <w:p w14:paraId="19375B06"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9,3%</w:t>
            </w:r>
          </w:p>
        </w:tc>
      </w:tr>
      <w:tr w:rsidR="00144A57" w14:paraId="3F054840" w14:textId="77777777" w:rsidTr="00144A57">
        <w:trPr>
          <w:trHeight w:val="255"/>
        </w:trPr>
        <w:tc>
          <w:tcPr>
            <w:tcW w:w="3114" w:type="dxa"/>
            <w:noWrap/>
            <w:vAlign w:val="center"/>
            <w:hideMark/>
          </w:tcPr>
          <w:p w14:paraId="0526F30D" w14:textId="336830CF" w:rsidR="002441DF" w:rsidRPr="005214D7" w:rsidRDefault="002441DF" w:rsidP="005214D7">
            <w:pPr>
              <w:rPr>
                <w:rFonts w:ascii="Arial" w:hAnsi="Arial" w:cs="Arial"/>
                <w:color w:val="000000"/>
                <w:sz w:val="20"/>
                <w:szCs w:val="20"/>
              </w:rPr>
            </w:pPr>
            <w:r w:rsidRPr="005214D7">
              <w:rPr>
                <w:rFonts w:ascii="Arial" w:hAnsi="Arial" w:cs="Arial"/>
                <w:sz w:val="18"/>
                <w:szCs w:val="18"/>
              </w:rPr>
              <w:t>Eigenkapitalquote [in %]</w:t>
            </w:r>
          </w:p>
        </w:tc>
        <w:tc>
          <w:tcPr>
            <w:tcW w:w="907" w:type="dxa"/>
            <w:shd w:val="clear" w:color="auto" w:fill="auto"/>
            <w:noWrap/>
            <w:vAlign w:val="bottom"/>
            <w:hideMark/>
          </w:tcPr>
          <w:p w14:paraId="34182572"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32,2</w:t>
            </w:r>
          </w:p>
        </w:tc>
        <w:tc>
          <w:tcPr>
            <w:tcW w:w="907" w:type="dxa"/>
            <w:shd w:val="clear" w:color="auto" w:fill="auto"/>
            <w:noWrap/>
            <w:vAlign w:val="bottom"/>
            <w:hideMark/>
          </w:tcPr>
          <w:p w14:paraId="38A2D2B9" w14:textId="77777777" w:rsidR="002441DF" w:rsidRPr="002441DF" w:rsidRDefault="002441DF" w:rsidP="005214D7">
            <w:pPr>
              <w:jc w:val="right"/>
              <w:rPr>
                <w:rFonts w:ascii="Arial" w:hAnsi="Arial" w:cs="Arial"/>
                <w:sz w:val="18"/>
                <w:szCs w:val="18"/>
              </w:rPr>
            </w:pPr>
            <w:r w:rsidRPr="002441DF">
              <w:rPr>
                <w:rFonts w:ascii="Arial" w:hAnsi="Arial" w:cs="Arial"/>
                <w:sz w:val="18"/>
                <w:szCs w:val="18"/>
              </w:rPr>
              <w:t>32,4</w:t>
            </w:r>
          </w:p>
        </w:tc>
        <w:tc>
          <w:tcPr>
            <w:tcW w:w="964" w:type="dxa"/>
            <w:shd w:val="clear" w:color="auto" w:fill="auto"/>
            <w:noWrap/>
            <w:vAlign w:val="bottom"/>
            <w:hideMark/>
          </w:tcPr>
          <w:p w14:paraId="562C0D50"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w:t>
            </w:r>
          </w:p>
        </w:tc>
        <w:tc>
          <w:tcPr>
            <w:tcW w:w="907" w:type="dxa"/>
            <w:shd w:val="clear" w:color="auto" w:fill="auto"/>
            <w:noWrap/>
            <w:vAlign w:val="bottom"/>
            <w:hideMark/>
          </w:tcPr>
          <w:p w14:paraId="02EC30D2"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32,2</w:t>
            </w:r>
          </w:p>
        </w:tc>
        <w:tc>
          <w:tcPr>
            <w:tcW w:w="907" w:type="dxa"/>
            <w:shd w:val="clear" w:color="auto" w:fill="auto"/>
            <w:noWrap/>
            <w:vAlign w:val="bottom"/>
            <w:hideMark/>
          </w:tcPr>
          <w:p w14:paraId="025A0CD0"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32,4</w:t>
            </w:r>
          </w:p>
        </w:tc>
        <w:tc>
          <w:tcPr>
            <w:tcW w:w="964" w:type="dxa"/>
            <w:shd w:val="clear" w:color="auto" w:fill="auto"/>
            <w:noWrap/>
            <w:vAlign w:val="bottom"/>
            <w:hideMark/>
          </w:tcPr>
          <w:p w14:paraId="468D8A73"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w:t>
            </w:r>
          </w:p>
        </w:tc>
      </w:tr>
      <w:tr w:rsidR="00144A57" w14:paraId="520EB4E4" w14:textId="77777777" w:rsidTr="00144A57">
        <w:trPr>
          <w:trHeight w:val="300"/>
        </w:trPr>
        <w:tc>
          <w:tcPr>
            <w:tcW w:w="3114" w:type="dxa"/>
            <w:noWrap/>
            <w:vAlign w:val="center"/>
            <w:hideMark/>
          </w:tcPr>
          <w:p w14:paraId="48B19D5C" w14:textId="15EB7D95" w:rsidR="002441DF" w:rsidRPr="005214D7" w:rsidRDefault="002441DF" w:rsidP="005214D7">
            <w:pPr>
              <w:rPr>
                <w:rFonts w:ascii="Arial" w:hAnsi="Arial" w:cs="Arial"/>
                <w:color w:val="000000"/>
                <w:sz w:val="20"/>
                <w:szCs w:val="20"/>
              </w:rPr>
            </w:pPr>
            <w:r w:rsidRPr="005214D7">
              <w:rPr>
                <w:rFonts w:ascii="Arial" w:hAnsi="Arial" w:cs="Arial"/>
                <w:sz w:val="18"/>
                <w:szCs w:val="18"/>
              </w:rPr>
              <w:t>Mitarbeiter per 30.6. [Anzahl]</w:t>
            </w:r>
          </w:p>
        </w:tc>
        <w:tc>
          <w:tcPr>
            <w:tcW w:w="907" w:type="dxa"/>
            <w:shd w:val="clear" w:color="auto" w:fill="auto"/>
            <w:noWrap/>
            <w:vAlign w:val="bottom"/>
            <w:hideMark/>
          </w:tcPr>
          <w:p w14:paraId="40224EB3"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87.666</w:t>
            </w:r>
          </w:p>
        </w:tc>
        <w:tc>
          <w:tcPr>
            <w:tcW w:w="907" w:type="dxa"/>
            <w:shd w:val="clear" w:color="auto" w:fill="auto"/>
            <w:noWrap/>
            <w:vAlign w:val="bottom"/>
            <w:hideMark/>
          </w:tcPr>
          <w:p w14:paraId="3E1A7F82"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81.581</w:t>
            </w:r>
          </w:p>
        </w:tc>
        <w:tc>
          <w:tcPr>
            <w:tcW w:w="964" w:type="dxa"/>
            <w:shd w:val="clear" w:color="auto" w:fill="auto"/>
            <w:noWrap/>
            <w:vAlign w:val="bottom"/>
            <w:hideMark/>
          </w:tcPr>
          <w:p w14:paraId="561F744B" w14:textId="77777777" w:rsidR="002441DF" w:rsidRPr="002441DF" w:rsidRDefault="002441DF" w:rsidP="005214D7">
            <w:pPr>
              <w:jc w:val="right"/>
              <w:rPr>
                <w:rFonts w:ascii="Arial" w:hAnsi="Arial" w:cs="Arial"/>
                <w:color w:val="000000"/>
                <w:sz w:val="18"/>
                <w:szCs w:val="18"/>
              </w:rPr>
            </w:pPr>
            <w:r w:rsidRPr="002441DF">
              <w:rPr>
                <w:rFonts w:ascii="Arial" w:hAnsi="Arial" w:cs="Arial"/>
                <w:color w:val="000000"/>
                <w:sz w:val="18"/>
                <w:szCs w:val="18"/>
              </w:rPr>
              <w:t>7,5%</w:t>
            </w:r>
          </w:p>
        </w:tc>
        <w:tc>
          <w:tcPr>
            <w:tcW w:w="907" w:type="dxa"/>
            <w:shd w:val="clear" w:color="auto" w:fill="auto"/>
            <w:noWrap/>
            <w:vAlign w:val="bottom"/>
            <w:hideMark/>
          </w:tcPr>
          <w:p w14:paraId="6D959E5D"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87.666</w:t>
            </w:r>
          </w:p>
        </w:tc>
        <w:tc>
          <w:tcPr>
            <w:tcW w:w="907" w:type="dxa"/>
            <w:shd w:val="clear" w:color="auto" w:fill="auto"/>
            <w:noWrap/>
            <w:vAlign w:val="bottom"/>
            <w:hideMark/>
          </w:tcPr>
          <w:p w14:paraId="52E2BBB2"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81.581</w:t>
            </w:r>
          </w:p>
        </w:tc>
        <w:tc>
          <w:tcPr>
            <w:tcW w:w="964" w:type="dxa"/>
            <w:shd w:val="clear" w:color="auto" w:fill="auto"/>
            <w:noWrap/>
            <w:vAlign w:val="bottom"/>
            <w:hideMark/>
          </w:tcPr>
          <w:p w14:paraId="532BCAC4" w14:textId="77777777" w:rsidR="002441DF" w:rsidRPr="002441DF" w:rsidRDefault="002441DF" w:rsidP="005214D7">
            <w:pPr>
              <w:jc w:val="right"/>
              <w:rPr>
                <w:rFonts w:ascii="Arial" w:hAnsi="Arial" w:cs="Arial"/>
                <w:bCs/>
                <w:color w:val="000000"/>
                <w:sz w:val="18"/>
                <w:szCs w:val="18"/>
              </w:rPr>
            </w:pPr>
            <w:r w:rsidRPr="002441DF">
              <w:rPr>
                <w:rFonts w:ascii="Arial" w:hAnsi="Arial" w:cs="Arial"/>
                <w:bCs/>
                <w:color w:val="000000"/>
                <w:sz w:val="18"/>
                <w:szCs w:val="18"/>
              </w:rPr>
              <w:t>7,5%</w:t>
            </w:r>
          </w:p>
        </w:tc>
      </w:tr>
    </w:tbl>
    <w:p w14:paraId="3542EB2C" w14:textId="77777777" w:rsidR="00440769" w:rsidRPr="00AB5F36" w:rsidRDefault="00440769" w:rsidP="00440769">
      <w:pPr>
        <w:pStyle w:val="Listenabsatz"/>
        <w:numPr>
          <w:ilvl w:val="0"/>
          <w:numId w:val="3"/>
        </w:numPr>
        <w:autoSpaceDE w:val="0"/>
        <w:autoSpaceDN w:val="0"/>
        <w:adjustRightInd w:val="0"/>
        <w:ind w:right="1711"/>
        <w:rPr>
          <w:rFonts w:ascii="Arial" w:hAnsi="Arial" w:cs="Arial"/>
          <w:i/>
          <w:sz w:val="16"/>
          <w:szCs w:val="16"/>
        </w:rPr>
      </w:pPr>
      <w:r w:rsidRPr="00AB5F36">
        <w:rPr>
          <w:rFonts w:ascii="Arial" w:hAnsi="Arial" w:cs="Arial"/>
          <w:i/>
          <w:sz w:val="16"/>
          <w:szCs w:val="16"/>
        </w:rPr>
        <w:t>Ergebnis bereinigt um die Effekte aus der Neubewertung im Rahmen der Kaufpreisverteilung der wesentlichen Akquisitionen, Restrukturierungen, Gewinne aus Unternehmensverkäufen, Ergebnisse aus Unternehmenszusammenschlüssen inklusive zugehöriger Derivate und Versicherungsentschädigung</w:t>
      </w:r>
    </w:p>
    <w:p w14:paraId="101D49F9" w14:textId="43062686" w:rsidR="002C0452" w:rsidRPr="002C0452" w:rsidRDefault="004C1AB9" w:rsidP="002C0452">
      <w:pPr>
        <w:pStyle w:val="Listenabsatz"/>
        <w:numPr>
          <w:ilvl w:val="0"/>
          <w:numId w:val="3"/>
        </w:numPr>
        <w:autoSpaceDE w:val="0"/>
        <w:autoSpaceDN w:val="0"/>
        <w:adjustRightInd w:val="0"/>
        <w:ind w:right="1711"/>
        <w:rPr>
          <w:rFonts w:ascii="Arial" w:hAnsi="Arial" w:cs="Arial"/>
          <w:i/>
          <w:sz w:val="16"/>
          <w:szCs w:val="16"/>
        </w:rPr>
      </w:pPr>
      <w:r w:rsidRPr="00AB5F36">
        <w:rPr>
          <w:rFonts w:ascii="Arial" w:hAnsi="Arial" w:cs="Arial"/>
          <w:i/>
          <w:sz w:val="16"/>
          <w:szCs w:val="16"/>
        </w:rPr>
        <w:t>Vorjahreswerte angepasst (mit Ausnahme von Investitionen und Mitarbeiteranzahl)</w:t>
      </w:r>
    </w:p>
    <w:p w14:paraId="0FF8D401" w14:textId="08FB987E" w:rsidR="00410B1E" w:rsidRPr="006D36F9" w:rsidRDefault="00410B1E" w:rsidP="00D82A33">
      <w:pPr>
        <w:pStyle w:val="MMKurzprofilberschrift"/>
      </w:pPr>
      <w:r w:rsidRPr="006D36F9">
        <w:t>Über die Leoni-Gruppe</w:t>
      </w:r>
    </w:p>
    <w:p w14:paraId="57E9F49E" w14:textId="32077D4D" w:rsidR="00410B1E" w:rsidRPr="00834D7F" w:rsidRDefault="00410B1E" w:rsidP="00410B1E">
      <w:pPr>
        <w:pStyle w:val="MMKurzprofil"/>
      </w:pPr>
      <w:r w:rsidRPr="0011372F">
        <w:t>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w:t>
      </w:r>
      <w:r w:rsidRPr="007F365C">
        <w:t xml:space="preserve"> im deutschen MDAX börsennotierte Unternehmensgruppe beschäftigt </w:t>
      </w:r>
      <w:r w:rsidR="00B06867">
        <w:t>rund</w:t>
      </w:r>
      <w:r>
        <w:t xml:space="preserve"> </w:t>
      </w:r>
      <w:r w:rsidRPr="00401074">
        <w:t>8</w:t>
      </w:r>
      <w:r w:rsidR="006A6939" w:rsidRPr="00401074">
        <w:t>8</w:t>
      </w:r>
      <w:r w:rsidRPr="00401074">
        <w:t>.000</w:t>
      </w:r>
      <w:r>
        <w:t xml:space="preserve"> Mitarbeiter in 31 Ländern und erzielte 2017 einen Konzernumsatz von 4,9 Mrd. Euro</w:t>
      </w:r>
      <w:r w:rsidRPr="007F365C">
        <w:t>.</w:t>
      </w:r>
      <w:r w:rsidRPr="00834D7F">
        <w:t xml:space="preserve"> </w:t>
      </w:r>
    </w:p>
    <w:p w14:paraId="455A36F7" w14:textId="77777777" w:rsidR="00410B1E" w:rsidRPr="00834D7F" w:rsidRDefault="00410B1E" w:rsidP="00410B1E">
      <w:pPr>
        <w:pStyle w:val="MMKurzprofil"/>
        <w:rPr>
          <w:sz w:val="8"/>
          <w:szCs w:val="8"/>
        </w:rPr>
      </w:pPr>
    </w:p>
    <w:p w14:paraId="30FB708E" w14:textId="77777777" w:rsidR="00410B1E" w:rsidRPr="00320044" w:rsidRDefault="00410B1E" w:rsidP="00410B1E">
      <w:pPr>
        <w:pStyle w:val="MMKurzprofil"/>
        <w:rPr>
          <w:noProof/>
        </w:rPr>
      </w:pPr>
      <w:r>
        <w:rPr>
          <w:noProof/>
        </w:rPr>
        <w:drawing>
          <wp:inline distT="0" distB="0" distL="0" distR="0" wp14:anchorId="26B862CD" wp14:editId="0AB312B1">
            <wp:extent cx="180975" cy="180975"/>
            <wp:effectExtent l="0" t="0" r="9525" b="9525"/>
            <wp:docPr id="7" name="Grafik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34D7F">
        <w:rPr>
          <w:noProof/>
        </w:rPr>
        <w:t xml:space="preserve"> </w:t>
      </w:r>
      <w:r>
        <w:rPr>
          <w:noProof/>
        </w:rPr>
        <w:drawing>
          <wp:inline distT="0" distB="0" distL="0" distR="0" wp14:anchorId="12E0B6F8" wp14:editId="51D7F114">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834D7F">
        <w:rPr>
          <w:noProof/>
        </w:rPr>
        <w:t xml:space="preserve"> </w:t>
      </w:r>
      <w:r w:rsidRPr="00863E00">
        <w:rPr>
          <w:noProof/>
        </w:rPr>
        <w:drawing>
          <wp:inline distT="0" distB="0" distL="0" distR="0" wp14:anchorId="644873D1" wp14:editId="4A8FF3D0">
            <wp:extent cx="177800" cy="177800"/>
            <wp:effectExtent l="0" t="0" r="0" b="0"/>
            <wp:docPr id="6"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919D4B9" w14:textId="77777777" w:rsidR="00410B1E" w:rsidRPr="006E4BF8" w:rsidRDefault="00410B1E" w:rsidP="00D82A33">
      <w:pPr>
        <w:pStyle w:val="MMKurzprofilberschrift"/>
      </w:pPr>
      <w:r w:rsidRPr="006D36F9">
        <w:t>Ansprechpartner für Journalisten</w:t>
      </w:r>
      <w:r>
        <w:tab/>
        <w:t>Ansprechpartner für Analysten und Investoren</w:t>
      </w:r>
    </w:p>
    <w:p w14:paraId="2F028E95" w14:textId="77777777" w:rsidR="00410B1E" w:rsidRPr="0014292D" w:rsidRDefault="00410B1E" w:rsidP="00410B1E">
      <w:pPr>
        <w:pStyle w:val="MMKurzprofil"/>
        <w:tabs>
          <w:tab w:val="clear" w:pos="8505"/>
          <w:tab w:val="left" w:pos="3544"/>
        </w:tabs>
      </w:pPr>
      <w:r w:rsidRPr="0014292D">
        <w:t xml:space="preserve">Sven Schmidt </w:t>
      </w:r>
      <w:r w:rsidRPr="0014292D">
        <w:tab/>
        <w:t xml:space="preserve">Frank Steinhart / Jens von </w:t>
      </w:r>
      <w:proofErr w:type="spellStart"/>
      <w:r w:rsidRPr="0014292D">
        <w:t>Seckendorff</w:t>
      </w:r>
      <w:proofErr w:type="spellEnd"/>
      <w:r w:rsidRPr="0014292D">
        <w:t xml:space="preserve"> </w:t>
      </w:r>
    </w:p>
    <w:p w14:paraId="1024A7A6" w14:textId="77777777" w:rsidR="00410B1E" w:rsidRPr="008333AF" w:rsidRDefault="00410B1E" w:rsidP="00410B1E">
      <w:pPr>
        <w:pStyle w:val="MMKurzprofil"/>
        <w:tabs>
          <w:tab w:val="clear" w:pos="8505"/>
          <w:tab w:val="left" w:pos="3544"/>
        </w:tabs>
        <w:rPr>
          <w:lang w:val="en-US"/>
        </w:rPr>
      </w:pPr>
      <w:r w:rsidRPr="008333AF">
        <w:rPr>
          <w:lang w:val="en-US"/>
        </w:rPr>
        <w:t xml:space="preserve">Corporate </w:t>
      </w:r>
      <w:r>
        <w:rPr>
          <w:lang w:val="en-US"/>
        </w:rPr>
        <w:t>Public &amp; Media Relations</w:t>
      </w:r>
      <w:r w:rsidRPr="008333AF">
        <w:rPr>
          <w:lang w:val="en-US"/>
        </w:rPr>
        <w:tab/>
        <w:t>Corporate Investor Relations</w:t>
      </w:r>
    </w:p>
    <w:p w14:paraId="694043A6" w14:textId="77777777" w:rsidR="00410B1E" w:rsidRPr="003C6E7D" w:rsidRDefault="00410B1E" w:rsidP="00410B1E">
      <w:pPr>
        <w:pStyle w:val="MMKurzprofil"/>
        <w:tabs>
          <w:tab w:val="clear" w:pos="8505"/>
          <w:tab w:val="left" w:pos="851"/>
          <w:tab w:val="left" w:pos="3544"/>
        </w:tabs>
      </w:pPr>
      <w:r w:rsidRPr="003C6E7D">
        <w:t>Telefon</w:t>
      </w:r>
      <w:r w:rsidRPr="003C6E7D">
        <w:tab/>
        <w:t>+49 (0)911-2023-467</w:t>
      </w:r>
      <w:r w:rsidRPr="003C6E7D">
        <w:tab/>
        <w:t>Telefon</w:t>
      </w:r>
      <w:r w:rsidRPr="003C6E7D">
        <w:tab/>
        <w:t>+49 (0)911-2023-203</w:t>
      </w:r>
      <w:r>
        <w:t xml:space="preserve"> / -134</w:t>
      </w:r>
    </w:p>
    <w:p w14:paraId="0CEE6F58" w14:textId="4A63376A" w:rsidR="008F5F48" w:rsidRPr="00410B1E" w:rsidRDefault="00410B1E" w:rsidP="00445A33">
      <w:pPr>
        <w:pStyle w:val="MMKurzprofil"/>
        <w:tabs>
          <w:tab w:val="clear" w:pos="8505"/>
          <w:tab w:val="left" w:pos="851"/>
          <w:tab w:val="left" w:pos="3544"/>
        </w:tabs>
        <w:rPr>
          <w:i/>
          <w:sz w:val="22"/>
          <w:szCs w:val="22"/>
        </w:rPr>
      </w:pPr>
      <w:r w:rsidRPr="006D36F9">
        <w:t>Telefax</w:t>
      </w:r>
      <w:r w:rsidRPr="006D36F9">
        <w:tab/>
        <w:t>+49 (0)911-2023-231</w:t>
      </w:r>
      <w:r>
        <w:tab/>
        <w:t>Telefax</w:t>
      </w:r>
      <w:r>
        <w:tab/>
        <w:t>+49 (0)911-2023-10203 / -10134</w:t>
      </w:r>
      <w:r>
        <w:br/>
        <w:t>E</w:t>
      </w:r>
      <w:r w:rsidRPr="006D36F9">
        <w:t>-Mail</w:t>
      </w:r>
      <w:r w:rsidRPr="006D36F9">
        <w:tab/>
      </w:r>
      <w:hyperlink r:id="rId16" w:history="1">
        <w:r w:rsidRPr="006D36F9">
          <w:rPr>
            <w:rStyle w:val="Hyperlink"/>
          </w:rPr>
          <w:t>presse@leoni.com</w:t>
        </w:r>
      </w:hyperlink>
      <w:r>
        <w:rPr>
          <w:rStyle w:val="Hyperlink"/>
          <w:u w:val="none"/>
        </w:rPr>
        <w:tab/>
      </w:r>
      <w:r>
        <w:t>E-Mail</w:t>
      </w:r>
      <w:r>
        <w:tab/>
      </w:r>
      <w:hyperlink r:id="rId17" w:history="1">
        <w:r w:rsidRPr="008E78D9">
          <w:rPr>
            <w:rStyle w:val="Hyperlink"/>
          </w:rPr>
          <w:t>invest@leoni.com</w:t>
        </w:r>
      </w:hyperlink>
    </w:p>
    <w:sectPr w:rsidR="008F5F48" w:rsidRPr="00410B1E" w:rsidSect="002441DF">
      <w:headerReference w:type="default" r:id="rId18"/>
      <w:footerReference w:type="default" r:id="rId19"/>
      <w:headerReference w:type="first" r:id="rId20"/>
      <w:footerReference w:type="first" r:id="rId21"/>
      <w:pgSz w:w="11900" w:h="16840" w:code="9"/>
      <w:pgMar w:top="2977" w:right="833" w:bottom="1701" w:left="1418" w:header="0" w:footer="742"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4ED5D" w16cid:durableId="1F0BECD7"/>
  <w16cid:commentId w16cid:paraId="6C48306B" w16cid:durableId="1F0B26BE"/>
  <w16cid:commentId w16cid:paraId="6C0447CE" w16cid:durableId="1F0B14F7"/>
  <w16cid:commentId w16cid:paraId="67A853B0" w16cid:durableId="1F0B154D"/>
  <w16cid:commentId w16cid:paraId="22F14030" w16cid:durableId="1F0B160F"/>
  <w16cid:commentId w16cid:paraId="1964F76B" w16cid:durableId="1F0B1CAF"/>
  <w16cid:commentId w16cid:paraId="40379D42" w16cid:durableId="1F0B21BF"/>
  <w16cid:commentId w16cid:paraId="6F446D0D" w16cid:durableId="1F0B21C9"/>
  <w16cid:commentId w16cid:paraId="26CD2D78" w16cid:durableId="1F0B2241"/>
  <w16cid:commentId w16cid:paraId="29DCB4A6" w16cid:durableId="1F0B1D2C"/>
  <w16cid:commentId w16cid:paraId="25E6F4A2" w16cid:durableId="1F0B1D72"/>
  <w16cid:commentId w16cid:paraId="7DDEAF67" w16cid:durableId="1F0B24B1"/>
  <w16cid:commentId w16cid:paraId="120C325A" w16cid:durableId="1F0B2451"/>
  <w16cid:commentId w16cid:paraId="34603626" w16cid:durableId="1F0BFDC9"/>
  <w16cid:commentId w16cid:paraId="149E70ED" w16cid:durableId="1F0C01D4"/>
  <w16cid:commentId w16cid:paraId="7BBCDF17" w16cid:durableId="1F0B27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A580" w14:textId="77777777" w:rsidR="002023B6" w:rsidRPr="00A44C71" w:rsidRDefault="002023B6">
      <w:pPr>
        <w:rPr>
          <w:sz w:val="16"/>
        </w:rPr>
      </w:pPr>
      <w:r>
        <w:separator/>
      </w:r>
    </w:p>
  </w:endnote>
  <w:endnote w:type="continuationSeparator" w:id="0">
    <w:p w14:paraId="307B5B9A" w14:textId="77777777" w:rsidR="002023B6" w:rsidRPr="00A44C71" w:rsidRDefault="002023B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Corbel"/>
    <w:charset w:val="00"/>
    <w:family w:val="swiss"/>
    <w:pitch w:val="variable"/>
    <w:sig w:usb0="80000027" w:usb1="00000000" w:usb2="00000000" w:usb3="00000000" w:csb0="00000003" w:csb1="00000000"/>
  </w:font>
  <w:font w:name="Myriad Condensed">
    <w:altName w:val="Corbel"/>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7B7F" w14:textId="3650FB79"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E1C93">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E1C93">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7715B58A"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F2AA"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7E1A4F80"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58174" w14:textId="77777777" w:rsidR="002023B6" w:rsidRPr="00A44C71" w:rsidRDefault="002023B6">
      <w:pPr>
        <w:rPr>
          <w:sz w:val="16"/>
        </w:rPr>
      </w:pPr>
      <w:r>
        <w:separator/>
      </w:r>
    </w:p>
  </w:footnote>
  <w:footnote w:type="continuationSeparator" w:id="0">
    <w:p w14:paraId="669AAC7D" w14:textId="77777777" w:rsidR="002023B6" w:rsidRPr="00A44C71" w:rsidRDefault="002023B6">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EFE4" w14:textId="77777777" w:rsidR="006F0BE8" w:rsidRPr="00F17738" w:rsidRDefault="006F0BE8" w:rsidP="006F0BE8">
    <w:pPr>
      <w:pStyle w:val="Kopfzeile"/>
      <w:tabs>
        <w:tab w:val="clear" w:pos="9072"/>
        <w:tab w:val="right" w:pos="9639"/>
      </w:tabs>
      <w:rPr>
        <w:rFonts w:ascii="Verdana" w:hAnsi="Verdana"/>
        <w:sz w:val="20"/>
      </w:rPr>
    </w:pPr>
  </w:p>
  <w:p w14:paraId="339FDCC3" w14:textId="77777777" w:rsidR="006F0BE8" w:rsidRPr="00F17738" w:rsidRDefault="006F0BE8" w:rsidP="006F0BE8">
    <w:pPr>
      <w:pStyle w:val="Kopfzeile"/>
      <w:tabs>
        <w:tab w:val="clear" w:pos="9072"/>
        <w:tab w:val="right" w:pos="9639"/>
      </w:tabs>
      <w:rPr>
        <w:rFonts w:ascii="Verdana" w:hAnsi="Verdana"/>
        <w:sz w:val="20"/>
      </w:rPr>
    </w:pPr>
  </w:p>
  <w:p w14:paraId="16E50400"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2EB98BB4" wp14:editId="1F314319">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AD741B3" w14:textId="77777777" w:rsidR="006F0BE8" w:rsidRDefault="006F0BE8" w:rsidP="006F0BE8">
    <w:pPr>
      <w:spacing w:before="60" w:line="360" w:lineRule="auto"/>
      <w:ind w:right="1429"/>
      <w:rPr>
        <w:rFonts w:ascii="Arial" w:hAnsi="Arial" w:cs="Arial"/>
        <w:b/>
        <w:sz w:val="20"/>
        <w:szCs w:val="20"/>
      </w:rPr>
    </w:pPr>
  </w:p>
  <w:p w14:paraId="5F0057BA"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2B326366" w14:textId="77777777" w:rsidR="006F0BE8" w:rsidRPr="00F17738" w:rsidRDefault="006F0BE8" w:rsidP="006F0BE8">
    <w:pPr>
      <w:pStyle w:val="Kopfzeile"/>
      <w:tabs>
        <w:tab w:val="clear" w:pos="9072"/>
        <w:tab w:val="right" w:pos="9639"/>
      </w:tabs>
      <w:rPr>
        <w:rFonts w:ascii="Verdana" w:hAnsi="Verdana"/>
        <w:sz w:val="20"/>
      </w:rPr>
    </w:pPr>
  </w:p>
  <w:p w14:paraId="471BF7F3" w14:textId="77777777" w:rsidR="006F0BE8" w:rsidRPr="00F17738" w:rsidRDefault="006F0BE8" w:rsidP="006F0BE8">
    <w:pPr>
      <w:pStyle w:val="Kopfzeile"/>
      <w:tabs>
        <w:tab w:val="clear" w:pos="9072"/>
        <w:tab w:val="right" w:pos="9639"/>
      </w:tabs>
      <w:rPr>
        <w:rFonts w:ascii="Verdana" w:hAnsi="Verdana"/>
        <w:sz w:val="20"/>
      </w:rPr>
    </w:pPr>
  </w:p>
  <w:p w14:paraId="17041273" w14:textId="77777777" w:rsidR="006F0BE8" w:rsidRPr="00F17738" w:rsidRDefault="006F0BE8" w:rsidP="006F0BE8">
    <w:pPr>
      <w:pStyle w:val="Kopfzeile"/>
      <w:tabs>
        <w:tab w:val="clear" w:pos="9072"/>
        <w:tab w:val="right" w:pos="9639"/>
      </w:tabs>
      <w:rPr>
        <w:rFonts w:ascii="Verdana" w:hAnsi="Verdana"/>
        <w:sz w:val="20"/>
      </w:rPr>
    </w:pPr>
  </w:p>
  <w:p w14:paraId="12449235"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CDF6" w14:textId="77777777" w:rsidR="00441012" w:rsidRPr="00F17738" w:rsidRDefault="00441012" w:rsidP="008F5F48">
    <w:pPr>
      <w:pStyle w:val="Kopfzeile"/>
      <w:ind w:right="12"/>
      <w:rPr>
        <w:rFonts w:ascii="Verdana" w:hAnsi="Verdana"/>
        <w:sz w:val="20"/>
      </w:rPr>
    </w:pPr>
  </w:p>
  <w:p w14:paraId="0269032E" w14:textId="77777777" w:rsidR="00441012" w:rsidRPr="00F17738" w:rsidRDefault="00441012" w:rsidP="008F5F48">
    <w:pPr>
      <w:pStyle w:val="Kopfzeile"/>
      <w:ind w:right="12"/>
      <w:rPr>
        <w:rFonts w:ascii="Verdana" w:hAnsi="Verdana"/>
        <w:sz w:val="20"/>
      </w:rPr>
    </w:pPr>
  </w:p>
  <w:p w14:paraId="11ABA0A7" w14:textId="77777777" w:rsidR="00441012" w:rsidRPr="00F17738" w:rsidRDefault="00441012" w:rsidP="008F5F48">
    <w:pPr>
      <w:pStyle w:val="Kopfzeile"/>
      <w:ind w:right="12"/>
      <w:rPr>
        <w:rFonts w:ascii="Verdana" w:hAnsi="Verdana"/>
        <w:sz w:val="20"/>
      </w:rPr>
    </w:pPr>
  </w:p>
  <w:p w14:paraId="003EEF35" w14:textId="77777777" w:rsidR="00441012" w:rsidRPr="00F17738" w:rsidRDefault="00441012" w:rsidP="008F5F48">
    <w:pPr>
      <w:pStyle w:val="Kopfzeile"/>
      <w:ind w:right="12"/>
      <w:rPr>
        <w:rFonts w:ascii="Verdana" w:hAnsi="Verdana"/>
        <w:sz w:val="20"/>
      </w:rPr>
    </w:pPr>
  </w:p>
  <w:p w14:paraId="096B61C8"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3FE7CD3B" wp14:editId="3AB91E49">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792D87F" w14:textId="77777777" w:rsidR="00441012" w:rsidRPr="00F17738" w:rsidRDefault="00441012" w:rsidP="008F5F48">
    <w:pPr>
      <w:pStyle w:val="Kopfzeile"/>
      <w:ind w:right="12"/>
      <w:rPr>
        <w:rFonts w:ascii="Verdana" w:hAnsi="Verdana"/>
        <w:sz w:val="20"/>
      </w:rPr>
    </w:pPr>
  </w:p>
  <w:p w14:paraId="57887A1C" w14:textId="77777777" w:rsidR="00441012" w:rsidRPr="00F17738" w:rsidRDefault="00441012" w:rsidP="008F5F48">
    <w:pPr>
      <w:pStyle w:val="Kopfzeile"/>
      <w:ind w:right="12"/>
      <w:rPr>
        <w:rFonts w:ascii="Verdana" w:hAnsi="Verdana"/>
        <w:sz w:val="20"/>
      </w:rPr>
    </w:pPr>
  </w:p>
  <w:p w14:paraId="29C16A27" w14:textId="77777777" w:rsidR="00441012" w:rsidRPr="00F17738" w:rsidRDefault="00441012" w:rsidP="008F5F48">
    <w:pPr>
      <w:pStyle w:val="Kopfzeile"/>
      <w:ind w:right="12"/>
      <w:rPr>
        <w:rFonts w:ascii="Verdana" w:hAnsi="Verdana"/>
        <w:sz w:val="20"/>
      </w:rPr>
    </w:pPr>
  </w:p>
  <w:p w14:paraId="7C1215CF" w14:textId="77777777" w:rsidR="00441012" w:rsidRPr="00F17738" w:rsidRDefault="00441012" w:rsidP="008F5F48">
    <w:pPr>
      <w:pStyle w:val="Kopfzeile"/>
      <w:ind w:right="12"/>
      <w:rPr>
        <w:rFonts w:ascii="Verdana" w:hAnsi="Verdana"/>
        <w:sz w:val="20"/>
      </w:rPr>
    </w:pPr>
  </w:p>
  <w:p w14:paraId="5CDB9684" w14:textId="77777777" w:rsidR="00441012" w:rsidRPr="00F17738" w:rsidRDefault="00441012" w:rsidP="008F5F48">
    <w:pPr>
      <w:pStyle w:val="Kopfzeile"/>
      <w:ind w:right="12"/>
      <w:rPr>
        <w:rFonts w:ascii="Verdana" w:hAnsi="Verdana"/>
        <w:sz w:val="20"/>
      </w:rPr>
    </w:pPr>
  </w:p>
  <w:p w14:paraId="6F2A2A94"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D517A"/>
    <w:multiLevelType w:val="hybridMultilevel"/>
    <w:tmpl w:val="D9146DB2"/>
    <w:lvl w:ilvl="0" w:tplc="C1FA1E9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C4113B"/>
    <w:multiLevelType w:val="hybridMultilevel"/>
    <w:tmpl w:val="C4CC7336"/>
    <w:lvl w:ilvl="0" w:tplc="FA6CB3AE">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A2FDA"/>
    <w:multiLevelType w:val="hybridMultilevel"/>
    <w:tmpl w:val="60C60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1E5DBE"/>
    <w:multiLevelType w:val="hybridMultilevel"/>
    <w:tmpl w:val="C332F316"/>
    <w:lvl w:ilvl="0" w:tplc="D554833A">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8B79D4"/>
    <w:multiLevelType w:val="hybridMultilevel"/>
    <w:tmpl w:val="CB0E7564"/>
    <w:lvl w:ilvl="0" w:tplc="63D41CA8">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67655CB"/>
    <w:multiLevelType w:val="hybridMultilevel"/>
    <w:tmpl w:val="D5BAF00E"/>
    <w:lvl w:ilvl="0" w:tplc="F8102F06">
      <w:numFmt w:val="bullet"/>
      <w:pStyle w:val="MMU2"/>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1480A5C"/>
    <w:multiLevelType w:val="hybridMultilevel"/>
    <w:tmpl w:val="908CA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7"/>
  </w:num>
  <w:num w:numId="6">
    <w:abstractNumId w:val="5"/>
  </w:num>
  <w:num w:numId="7">
    <w:abstractNumId w:val="3"/>
  </w:num>
  <w:num w:numId="8">
    <w:abstractNumId w:val="8"/>
  </w:num>
  <w:num w:numId="9">
    <w:abstractNumId w:val="4"/>
  </w:num>
  <w:num w:numId="10">
    <w:abstractNumId w:val="2"/>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52D5"/>
    <w:rsid w:val="00006BEE"/>
    <w:rsid w:val="000079E4"/>
    <w:rsid w:val="0001259D"/>
    <w:rsid w:val="00013A64"/>
    <w:rsid w:val="0002408F"/>
    <w:rsid w:val="00030FC6"/>
    <w:rsid w:val="0003314F"/>
    <w:rsid w:val="00034542"/>
    <w:rsid w:val="0003754B"/>
    <w:rsid w:val="000453F9"/>
    <w:rsid w:val="00045D60"/>
    <w:rsid w:val="0004676A"/>
    <w:rsid w:val="00047F80"/>
    <w:rsid w:val="00053262"/>
    <w:rsid w:val="00055E09"/>
    <w:rsid w:val="000636A9"/>
    <w:rsid w:val="0007029D"/>
    <w:rsid w:val="00076316"/>
    <w:rsid w:val="00090DA5"/>
    <w:rsid w:val="000A0822"/>
    <w:rsid w:val="000A32BC"/>
    <w:rsid w:val="000A4F93"/>
    <w:rsid w:val="000A4FAE"/>
    <w:rsid w:val="000A7B89"/>
    <w:rsid w:val="000B3BF8"/>
    <w:rsid w:val="000B5865"/>
    <w:rsid w:val="000C02B1"/>
    <w:rsid w:val="000C1232"/>
    <w:rsid w:val="000C5E14"/>
    <w:rsid w:val="000D12FB"/>
    <w:rsid w:val="000D266F"/>
    <w:rsid w:val="000E05CE"/>
    <w:rsid w:val="000E0BCB"/>
    <w:rsid w:val="000E6946"/>
    <w:rsid w:val="000E717A"/>
    <w:rsid w:val="000F2DC6"/>
    <w:rsid w:val="00102158"/>
    <w:rsid w:val="00107EE0"/>
    <w:rsid w:val="00110484"/>
    <w:rsid w:val="00112EFB"/>
    <w:rsid w:val="0011372F"/>
    <w:rsid w:val="001161B4"/>
    <w:rsid w:val="00117BD4"/>
    <w:rsid w:val="00123771"/>
    <w:rsid w:val="00123B76"/>
    <w:rsid w:val="00125065"/>
    <w:rsid w:val="00126C5F"/>
    <w:rsid w:val="00130F82"/>
    <w:rsid w:val="00131358"/>
    <w:rsid w:val="00132B87"/>
    <w:rsid w:val="0013325F"/>
    <w:rsid w:val="00134E77"/>
    <w:rsid w:val="00137E53"/>
    <w:rsid w:val="001418BE"/>
    <w:rsid w:val="0014292D"/>
    <w:rsid w:val="00144A57"/>
    <w:rsid w:val="001454B6"/>
    <w:rsid w:val="00147E2C"/>
    <w:rsid w:val="00151EEF"/>
    <w:rsid w:val="00152D54"/>
    <w:rsid w:val="00155CD3"/>
    <w:rsid w:val="00157C54"/>
    <w:rsid w:val="00160569"/>
    <w:rsid w:val="00172DBF"/>
    <w:rsid w:val="001734DC"/>
    <w:rsid w:val="001738D5"/>
    <w:rsid w:val="0017416D"/>
    <w:rsid w:val="00174507"/>
    <w:rsid w:val="00176EB6"/>
    <w:rsid w:val="00184530"/>
    <w:rsid w:val="00184E80"/>
    <w:rsid w:val="0018564D"/>
    <w:rsid w:val="0018647C"/>
    <w:rsid w:val="0019085A"/>
    <w:rsid w:val="00190924"/>
    <w:rsid w:val="00195338"/>
    <w:rsid w:val="001A26F1"/>
    <w:rsid w:val="001A2F5B"/>
    <w:rsid w:val="001B093D"/>
    <w:rsid w:val="001B621B"/>
    <w:rsid w:val="001B6808"/>
    <w:rsid w:val="001B6DC2"/>
    <w:rsid w:val="001B763D"/>
    <w:rsid w:val="001C0CC3"/>
    <w:rsid w:val="001C25E2"/>
    <w:rsid w:val="001C7543"/>
    <w:rsid w:val="001D1868"/>
    <w:rsid w:val="001D2CDB"/>
    <w:rsid w:val="001D3606"/>
    <w:rsid w:val="001D4108"/>
    <w:rsid w:val="001F2A9F"/>
    <w:rsid w:val="001F6B7B"/>
    <w:rsid w:val="002023B6"/>
    <w:rsid w:val="00207FC6"/>
    <w:rsid w:val="00211D05"/>
    <w:rsid w:val="0021235B"/>
    <w:rsid w:val="00222871"/>
    <w:rsid w:val="0022421D"/>
    <w:rsid w:val="00230401"/>
    <w:rsid w:val="0023293F"/>
    <w:rsid w:val="00240866"/>
    <w:rsid w:val="0024234A"/>
    <w:rsid w:val="002441DF"/>
    <w:rsid w:val="00245C9E"/>
    <w:rsid w:val="00260A78"/>
    <w:rsid w:val="00261B16"/>
    <w:rsid w:val="002630D8"/>
    <w:rsid w:val="00264325"/>
    <w:rsid w:val="00265E7F"/>
    <w:rsid w:val="002741BC"/>
    <w:rsid w:val="002855D6"/>
    <w:rsid w:val="002929B6"/>
    <w:rsid w:val="002956A9"/>
    <w:rsid w:val="0029603C"/>
    <w:rsid w:val="002965B8"/>
    <w:rsid w:val="002B325C"/>
    <w:rsid w:val="002B3EF8"/>
    <w:rsid w:val="002B59D6"/>
    <w:rsid w:val="002B5B50"/>
    <w:rsid w:val="002B7AC7"/>
    <w:rsid w:val="002B7BFA"/>
    <w:rsid w:val="002C0452"/>
    <w:rsid w:val="002C118D"/>
    <w:rsid w:val="002D7787"/>
    <w:rsid w:val="002E009D"/>
    <w:rsid w:val="002E1CB0"/>
    <w:rsid w:val="002E39D1"/>
    <w:rsid w:val="003035B6"/>
    <w:rsid w:val="00310357"/>
    <w:rsid w:val="003118F1"/>
    <w:rsid w:val="00313ADA"/>
    <w:rsid w:val="00313D17"/>
    <w:rsid w:val="00320044"/>
    <w:rsid w:val="00327805"/>
    <w:rsid w:val="003333AC"/>
    <w:rsid w:val="00361CF2"/>
    <w:rsid w:val="00362050"/>
    <w:rsid w:val="003621D6"/>
    <w:rsid w:val="00363AC0"/>
    <w:rsid w:val="00364D90"/>
    <w:rsid w:val="00364DCD"/>
    <w:rsid w:val="003718B4"/>
    <w:rsid w:val="00382198"/>
    <w:rsid w:val="003824A2"/>
    <w:rsid w:val="00391A6A"/>
    <w:rsid w:val="00392867"/>
    <w:rsid w:val="003930FD"/>
    <w:rsid w:val="00395815"/>
    <w:rsid w:val="00395C57"/>
    <w:rsid w:val="00397AC4"/>
    <w:rsid w:val="003A379E"/>
    <w:rsid w:val="003A73F1"/>
    <w:rsid w:val="003B16EB"/>
    <w:rsid w:val="003B5354"/>
    <w:rsid w:val="003B6116"/>
    <w:rsid w:val="003B7DA5"/>
    <w:rsid w:val="003C6266"/>
    <w:rsid w:val="003C6AAE"/>
    <w:rsid w:val="003D2799"/>
    <w:rsid w:val="003D4445"/>
    <w:rsid w:val="003D5BD6"/>
    <w:rsid w:val="003D797E"/>
    <w:rsid w:val="003E190D"/>
    <w:rsid w:val="003E43B4"/>
    <w:rsid w:val="003E46DE"/>
    <w:rsid w:val="003E4B96"/>
    <w:rsid w:val="003F027D"/>
    <w:rsid w:val="003F14D0"/>
    <w:rsid w:val="003F37E2"/>
    <w:rsid w:val="003F74D0"/>
    <w:rsid w:val="00401074"/>
    <w:rsid w:val="00402159"/>
    <w:rsid w:val="00404468"/>
    <w:rsid w:val="00410B1E"/>
    <w:rsid w:val="00420CF1"/>
    <w:rsid w:val="00421378"/>
    <w:rsid w:val="004215F4"/>
    <w:rsid w:val="00432245"/>
    <w:rsid w:val="00432734"/>
    <w:rsid w:val="00432D1D"/>
    <w:rsid w:val="00440769"/>
    <w:rsid w:val="00441012"/>
    <w:rsid w:val="00441963"/>
    <w:rsid w:val="00445A33"/>
    <w:rsid w:val="0045071B"/>
    <w:rsid w:val="00450CE2"/>
    <w:rsid w:val="00451236"/>
    <w:rsid w:val="004547BF"/>
    <w:rsid w:val="004612DA"/>
    <w:rsid w:val="004643EF"/>
    <w:rsid w:val="00464F00"/>
    <w:rsid w:val="00466073"/>
    <w:rsid w:val="00473340"/>
    <w:rsid w:val="00473E7D"/>
    <w:rsid w:val="004826F0"/>
    <w:rsid w:val="004A1653"/>
    <w:rsid w:val="004A457B"/>
    <w:rsid w:val="004A5E5B"/>
    <w:rsid w:val="004B0623"/>
    <w:rsid w:val="004B0A96"/>
    <w:rsid w:val="004B2FE2"/>
    <w:rsid w:val="004B3DB8"/>
    <w:rsid w:val="004B4CC2"/>
    <w:rsid w:val="004B78AC"/>
    <w:rsid w:val="004C1AB9"/>
    <w:rsid w:val="004D2FCB"/>
    <w:rsid w:val="004D643A"/>
    <w:rsid w:val="004E29FC"/>
    <w:rsid w:val="004F038C"/>
    <w:rsid w:val="004F2266"/>
    <w:rsid w:val="004F244E"/>
    <w:rsid w:val="004F7079"/>
    <w:rsid w:val="00500004"/>
    <w:rsid w:val="00500B29"/>
    <w:rsid w:val="005039E4"/>
    <w:rsid w:val="005072AE"/>
    <w:rsid w:val="005214D7"/>
    <w:rsid w:val="00524FFC"/>
    <w:rsid w:val="00526F46"/>
    <w:rsid w:val="00527717"/>
    <w:rsid w:val="00533F65"/>
    <w:rsid w:val="00541239"/>
    <w:rsid w:val="00543C34"/>
    <w:rsid w:val="005448AB"/>
    <w:rsid w:val="00546AC0"/>
    <w:rsid w:val="00547D6D"/>
    <w:rsid w:val="00552909"/>
    <w:rsid w:val="0056043F"/>
    <w:rsid w:val="0056396B"/>
    <w:rsid w:val="005674A7"/>
    <w:rsid w:val="005722DC"/>
    <w:rsid w:val="0057393D"/>
    <w:rsid w:val="0057484D"/>
    <w:rsid w:val="00576612"/>
    <w:rsid w:val="00590AC6"/>
    <w:rsid w:val="00597C74"/>
    <w:rsid w:val="005A0F90"/>
    <w:rsid w:val="005B4DC3"/>
    <w:rsid w:val="005B7FDD"/>
    <w:rsid w:val="005C1F50"/>
    <w:rsid w:val="005C5351"/>
    <w:rsid w:val="005D032D"/>
    <w:rsid w:val="005D1A16"/>
    <w:rsid w:val="005D4C87"/>
    <w:rsid w:val="005D550E"/>
    <w:rsid w:val="005E0BBB"/>
    <w:rsid w:val="005F442F"/>
    <w:rsid w:val="00600E53"/>
    <w:rsid w:val="006048E5"/>
    <w:rsid w:val="00614A49"/>
    <w:rsid w:val="0061798D"/>
    <w:rsid w:val="006200E8"/>
    <w:rsid w:val="00620331"/>
    <w:rsid w:val="0062285E"/>
    <w:rsid w:val="00626983"/>
    <w:rsid w:val="00630B4E"/>
    <w:rsid w:val="00631FB1"/>
    <w:rsid w:val="00633215"/>
    <w:rsid w:val="00633487"/>
    <w:rsid w:val="00634FB2"/>
    <w:rsid w:val="006457CF"/>
    <w:rsid w:val="006511C9"/>
    <w:rsid w:val="00654989"/>
    <w:rsid w:val="006611CF"/>
    <w:rsid w:val="0066292E"/>
    <w:rsid w:val="00662BC7"/>
    <w:rsid w:val="00662D5D"/>
    <w:rsid w:val="00665C8B"/>
    <w:rsid w:val="00665E02"/>
    <w:rsid w:val="00667966"/>
    <w:rsid w:val="00667A44"/>
    <w:rsid w:val="00673125"/>
    <w:rsid w:val="00681C65"/>
    <w:rsid w:val="00683653"/>
    <w:rsid w:val="00683EF3"/>
    <w:rsid w:val="006855F2"/>
    <w:rsid w:val="00687004"/>
    <w:rsid w:val="006A6939"/>
    <w:rsid w:val="006A76CA"/>
    <w:rsid w:val="006B2678"/>
    <w:rsid w:val="006B43B5"/>
    <w:rsid w:val="006B61A9"/>
    <w:rsid w:val="006C5546"/>
    <w:rsid w:val="006C63DB"/>
    <w:rsid w:val="006C6A78"/>
    <w:rsid w:val="006D1EE5"/>
    <w:rsid w:val="006D27C6"/>
    <w:rsid w:val="006D36F9"/>
    <w:rsid w:val="006D76F8"/>
    <w:rsid w:val="006E0029"/>
    <w:rsid w:val="006E04C3"/>
    <w:rsid w:val="006E49BF"/>
    <w:rsid w:val="006F0BE8"/>
    <w:rsid w:val="006F435B"/>
    <w:rsid w:val="006F4393"/>
    <w:rsid w:val="006F78FE"/>
    <w:rsid w:val="006F7CD2"/>
    <w:rsid w:val="007026B8"/>
    <w:rsid w:val="007036A5"/>
    <w:rsid w:val="0071010D"/>
    <w:rsid w:val="00710F2A"/>
    <w:rsid w:val="00713591"/>
    <w:rsid w:val="00720539"/>
    <w:rsid w:val="00721853"/>
    <w:rsid w:val="007218EA"/>
    <w:rsid w:val="00721D01"/>
    <w:rsid w:val="00721EA2"/>
    <w:rsid w:val="007220EA"/>
    <w:rsid w:val="00730006"/>
    <w:rsid w:val="00733E8F"/>
    <w:rsid w:val="00741123"/>
    <w:rsid w:val="007420F8"/>
    <w:rsid w:val="00744506"/>
    <w:rsid w:val="00746469"/>
    <w:rsid w:val="00747BA4"/>
    <w:rsid w:val="00751969"/>
    <w:rsid w:val="007523EB"/>
    <w:rsid w:val="00753B5B"/>
    <w:rsid w:val="00765E37"/>
    <w:rsid w:val="00772BA7"/>
    <w:rsid w:val="00772C01"/>
    <w:rsid w:val="007747B6"/>
    <w:rsid w:val="00774E03"/>
    <w:rsid w:val="007829DA"/>
    <w:rsid w:val="00782E7E"/>
    <w:rsid w:val="00783A5E"/>
    <w:rsid w:val="007851FC"/>
    <w:rsid w:val="007864F1"/>
    <w:rsid w:val="00795463"/>
    <w:rsid w:val="00796408"/>
    <w:rsid w:val="007A675F"/>
    <w:rsid w:val="007B09AE"/>
    <w:rsid w:val="007B0C18"/>
    <w:rsid w:val="007B253D"/>
    <w:rsid w:val="007C3759"/>
    <w:rsid w:val="007D7D60"/>
    <w:rsid w:val="007E491E"/>
    <w:rsid w:val="007E6562"/>
    <w:rsid w:val="007E7C8B"/>
    <w:rsid w:val="007F3212"/>
    <w:rsid w:val="008045E1"/>
    <w:rsid w:val="00804C50"/>
    <w:rsid w:val="0080643F"/>
    <w:rsid w:val="00810406"/>
    <w:rsid w:val="00815946"/>
    <w:rsid w:val="00821BA4"/>
    <w:rsid w:val="0083522C"/>
    <w:rsid w:val="008446CD"/>
    <w:rsid w:val="00852389"/>
    <w:rsid w:val="008528D2"/>
    <w:rsid w:val="00860B7C"/>
    <w:rsid w:val="00865127"/>
    <w:rsid w:val="00877C02"/>
    <w:rsid w:val="00882C51"/>
    <w:rsid w:val="00883645"/>
    <w:rsid w:val="0088609B"/>
    <w:rsid w:val="008920B0"/>
    <w:rsid w:val="008964EF"/>
    <w:rsid w:val="00897230"/>
    <w:rsid w:val="008A1047"/>
    <w:rsid w:val="008A346F"/>
    <w:rsid w:val="008A69D8"/>
    <w:rsid w:val="008A7D3E"/>
    <w:rsid w:val="008B1883"/>
    <w:rsid w:val="008B24BA"/>
    <w:rsid w:val="008C29CB"/>
    <w:rsid w:val="008D26BA"/>
    <w:rsid w:val="008D6717"/>
    <w:rsid w:val="008E101F"/>
    <w:rsid w:val="008E236B"/>
    <w:rsid w:val="008E4765"/>
    <w:rsid w:val="008E5232"/>
    <w:rsid w:val="008E7760"/>
    <w:rsid w:val="008F5F48"/>
    <w:rsid w:val="008F7C2E"/>
    <w:rsid w:val="0090671E"/>
    <w:rsid w:val="00906898"/>
    <w:rsid w:val="00913306"/>
    <w:rsid w:val="009261E8"/>
    <w:rsid w:val="00930134"/>
    <w:rsid w:val="00936411"/>
    <w:rsid w:val="00936962"/>
    <w:rsid w:val="0095040B"/>
    <w:rsid w:val="0095089E"/>
    <w:rsid w:val="009613DC"/>
    <w:rsid w:val="00961415"/>
    <w:rsid w:val="00967E91"/>
    <w:rsid w:val="009714B0"/>
    <w:rsid w:val="00977A5F"/>
    <w:rsid w:val="00977A87"/>
    <w:rsid w:val="00980D94"/>
    <w:rsid w:val="00982D80"/>
    <w:rsid w:val="00996112"/>
    <w:rsid w:val="0099706B"/>
    <w:rsid w:val="009A05EE"/>
    <w:rsid w:val="009A1070"/>
    <w:rsid w:val="009A38A6"/>
    <w:rsid w:val="009A5D69"/>
    <w:rsid w:val="009B1EDC"/>
    <w:rsid w:val="009B48FF"/>
    <w:rsid w:val="009B564D"/>
    <w:rsid w:val="009C6B13"/>
    <w:rsid w:val="009D0E68"/>
    <w:rsid w:val="009D5AE9"/>
    <w:rsid w:val="009D6ABC"/>
    <w:rsid w:val="009F6805"/>
    <w:rsid w:val="009F752B"/>
    <w:rsid w:val="00A00B82"/>
    <w:rsid w:val="00A01AE4"/>
    <w:rsid w:val="00A01E03"/>
    <w:rsid w:val="00A12538"/>
    <w:rsid w:val="00A154F5"/>
    <w:rsid w:val="00A200E0"/>
    <w:rsid w:val="00A22DD6"/>
    <w:rsid w:val="00A23768"/>
    <w:rsid w:val="00A268EB"/>
    <w:rsid w:val="00A27173"/>
    <w:rsid w:val="00A34AA7"/>
    <w:rsid w:val="00A51DDE"/>
    <w:rsid w:val="00A52A32"/>
    <w:rsid w:val="00A54DDA"/>
    <w:rsid w:val="00A66992"/>
    <w:rsid w:val="00A708D7"/>
    <w:rsid w:val="00A76415"/>
    <w:rsid w:val="00A801EA"/>
    <w:rsid w:val="00A84392"/>
    <w:rsid w:val="00A92505"/>
    <w:rsid w:val="00A94224"/>
    <w:rsid w:val="00AA06A4"/>
    <w:rsid w:val="00AA09F4"/>
    <w:rsid w:val="00AA21DF"/>
    <w:rsid w:val="00AA2A8D"/>
    <w:rsid w:val="00AB366E"/>
    <w:rsid w:val="00AB5F36"/>
    <w:rsid w:val="00AC013F"/>
    <w:rsid w:val="00AC2AE0"/>
    <w:rsid w:val="00AC7A23"/>
    <w:rsid w:val="00AD3E26"/>
    <w:rsid w:val="00AD7591"/>
    <w:rsid w:val="00AE3A20"/>
    <w:rsid w:val="00AE43B7"/>
    <w:rsid w:val="00AF0A61"/>
    <w:rsid w:val="00AF3E2D"/>
    <w:rsid w:val="00AF7C3C"/>
    <w:rsid w:val="00B001B6"/>
    <w:rsid w:val="00B014F3"/>
    <w:rsid w:val="00B01C97"/>
    <w:rsid w:val="00B06867"/>
    <w:rsid w:val="00B06945"/>
    <w:rsid w:val="00B1340F"/>
    <w:rsid w:val="00B139E4"/>
    <w:rsid w:val="00B1500E"/>
    <w:rsid w:val="00B216C9"/>
    <w:rsid w:val="00B23C26"/>
    <w:rsid w:val="00B2543B"/>
    <w:rsid w:val="00B3540F"/>
    <w:rsid w:val="00B375B9"/>
    <w:rsid w:val="00B45E40"/>
    <w:rsid w:val="00B466F2"/>
    <w:rsid w:val="00B5266D"/>
    <w:rsid w:val="00B67561"/>
    <w:rsid w:val="00B70B1A"/>
    <w:rsid w:val="00B70D8F"/>
    <w:rsid w:val="00B71C6F"/>
    <w:rsid w:val="00B75A29"/>
    <w:rsid w:val="00B82B8E"/>
    <w:rsid w:val="00B82FD5"/>
    <w:rsid w:val="00B948FC"/>
    <w:rsid w:val="00B95A08"/>
    <w:rsid w:val="00B96DE2"/>
    <w:rsid w:val="00BA0052"/>
    <w:rsid w:val="00BA138F"/>
    <w:rsid w:val="00BA1DFA"/>
    <w:rsid w:val="00BB1A73"/>
    <w:rsid w:val="00BB3192"/>
    <w:rsid w:val="00BB3EA2"/>
    <w:rsid w:val="00BB43FA"/>
    <w:rsid w:val="00BB4DA9"/>
    <w:rsid w:val="00BC5FE7"/>
    <w:rsid w:val="00BD07E8"/>
    <w:rsid w:val="00BD22AC"/>
    <w:rsid w:val="00BD2643"/>
    <w:rsid w:val="00BD4058"/>
    <w:rsid w:val="00BD6445"/>
    <w:rsid w:val="00BE195E"/>
    <w:rsid w:val="00BF2018"/>
    <w:rsid w:val="00BF4C1E"/>
    <w:rsid w:val="00BF5681"/>
    <w:rsid w:val="00BF7DEC"/>
    <w:rsid w:val="00C03D20"/>
    <w:rsid w:val="00C07A74"/>
    <w:rsid w:val="00C108BC"/>
    <w:rsid w:val="00C11645"/>
    <w:rsid w:val="00C1516A"/>
    <w:rsid w:val="00C40C1D"/>
    <w:rsid w:val="00C4554D"/>
    <w:rsid w:val="00C4636C"/>
    <w:rsid w:val="00C47D8F"/>
    <w:rsid w:val="00C506A6"/>
    <w:rsid w:val="00C6770A"/>
    <w:rsid w:val="00C70CFD"/>
    <w:rsid w:val="00C70F49"/>
    <w:rsid w:val="00C7427E"/>
    <w:rsid w:val="00C76A26"/>
    <w:rsid w:val="00C76F97"/>
    <w:rsid w:val="00C83527"/>
    <w:rsid w:val="00C83F49"/>
    <w:rsid w:val="00C900A9"/>
    <w:rsid w:val="00C94F0F"/>
    <w:rsid w:val="00C96EBA"/>
    <w:rsid w:val="00CA1E2C"/>
    <w:rsid w:val="00CA481B"/>
    <w:rsid w:val="00CA4B57"/>
    <w:rsid w:val="00CA6DDB"/>
    <w:rsid w:val="00CB644E"/>
    <w:rsid w:val="00CC3F86"/>
    <w:rsid w:val="00CC6712"/>
    <w:rsid w:val="00CC6B21"/>
    <w:rsid w:val="00CD790F"/>
    <w:rsid w:val="00CF61BC"/>
    <w:rsid w:val="00D01274"/>
    <w:rsid w:val="00D036C2"/>
    <w:rsid w:val="00D04407"/>
    <w:rsid w:val="00D10F63"/>
    <w:rsid w:val="00D1225B"/>
    <w:rsid w:val="00D15735"/>
    <w:rsid w:val="00D2197B"/>
    <w:rsid w:val="00D22ED7"/>
    <w:rsid w:val="00D2546A"/>
    <w:rsid w:val="00D413F1"/>
    <w:rsid w:val="00D47FA5"/>
    <w:rsid w:val="00D517EE"/>
    <w:rsid w:val="00D5673F"/>
    <w:rsid w:val="00D56A62"/>
    <w:rsid w:val="00D65513"/>
    <w:rsid w:val="00D66C37"/>
    <w:rsid w:val="00D700B9"/>
    <w:rsid w:val="00D738A7"/>
    <w:rsid w:val="00D73A2A"/>
    <w:rsid w:val="00D74838"/>
    <w:rsid w:val="00D7716B"/>
    <w:rsid w:val="00D80DBE"/>
    <w:rsid w:val="00D82A33"/>
    <w:rsid w:val="00D84EAA"/>
    <w:rsid w:val="00D85488"/>
    <w:rsid w:val="00D90D76"/>
    <w:rsid w:val="00D95483"/>
    <w:rsid w:val="00D9602A"/>
    <w:rsid w:val="00DA077B"/>
    <w:rsid w:val="00DA49A1"/>
    <w:rsid w:val="00DA79F8"/>
    <w:rsid w:val="00DB1B96"/>
    <w:rsid w:val="00DB2E93"/>
    <w:rsid w:val="00DB536A"/>
    <w:rsid w:val="00DC05F2"/>
    <w:rsid w:val="00DC19CD"/>
    <w:rsid w:val="00DD25DC"/>
    <w:rsid w:val="00DD5149"/>
    <w:rsid w:val="00DD6201"/>
    <w:rsid w:val="00DD67C1"/>
    <w:rsid w:val="00DD6FBE"/>
    <w:rsid w:val="00DD7F27"/>
    <w:rsid w:val="00DF6351"/>
    <w:rsid w:val="00DF6B00"/>
    <w:rsid w:val="00E01673"/>
    <w:rsid w:val="00E029EA"/>
    <w:rsid w:val="00E02B7A"/>
    <w:rsid w:val="00E02E00"/>
    <w:rsid w:val="00E2445B"/>
    <w:rsid w:val="00E24FA9"/>
    <w:rsid w:val="00E33130"/>
    <w:rsid w:val="00E358C1"/>
    <w:rsid w:val="00E367AB"/>
    <w:rsid w:val="00E36F08"/>
    <w:rsid w:val="00E37418"/>
    <w:rsid w:val="00E375D4"/>
    <w:rsid w:val="00E45475"/>
    <w:rsid w:val="00E460C8"/>
    <w:rsid w:val="00E569A0"/>
    <w:rsid w:val="00E626EE"/>
    <w:rsid w:val="00E74755"/>
    <w:rsid w:val="00E76BA0"/>
    <w:rsid w:val="00E77254"/>
    <w:rsid w:val="00E86816"/>
    <w:rsid w:val="00E86ACA"/>
    <w:rsid w:val="00E86D57"/>
    <w:rsid w:val="00E93051"/>
    <w:rsid w:val="00E96673"/>
    <w:rsid w:val="00EA2C44"/>
    <w:rsid w:val="00EB569F"/>
    <w:rsid w:val="00EC0A0C"/>
    <w:rsid w:val="00EC0E74"/>
    <w:rsid w:val="00EC32B0"/>
    <w:rsid w:val="00EC6520"/>
    <w:rsid w:val="00ED089B"/>
    <w:rsid w:val="00ED1040"/>
    <w:rsid w:val="00ED47BD"/>
    <w:rsid w:val="00EE1C93"/>
    <w:rsid w:val="00EE3329"/>
    <w:rsid w:val="00EF18F1"/>
    <w:rsid w:val="00EF591E"/>
    <w:rsid w:val="00EF7DCD"/>
    <w:rsid w:val="00F14B05"/>
    <w:rsid w:val="00F21EA0"/>
    <w:rsid w:val="00F31444"/>
    <w:rsid w:val="00F32AD4"/>
    <w:rsid w:val="00F37865"/>
    <w:rsid w:val="00F403D1"/>
    <w:rsid w:val="00F45817"/>
    <w:rsid w:val="00F53056"/>
    <w:rsid w:val="00F56EA2"/>
    <w:rsid w:val="00F64775"/>
    <w:rsid w:val="00F67138"/>
    <w:rsid w:val="00F72636"/>
    <w:rsid w:val="00F737A1"/>
    <w:rsid w:val="00F73C92"/>
    <w:rsid w:val="00F77BB5"/>
    <w:rsid w:val="00F80249"/>
    <w:rsid w:val="00F80A22"/>
    <w:rsid w:val="00F811D3"/>
    <w:rsid w:val="00F84B1D"/>
    <w:rsid w:val="00F860B1"/>
    <w:rsid w:val="00F90257"/>
    <w:rsid w:val="00F91A18"/>
    <w:rsid w:val="00F91FB0"/>
    <w:rsid w:val="00F92DC3"/>
    <w:rsid w:val="00F94F62"/>
    <w:rsid w:val="00F955C9"/>
    <w:rsid w:val="00FB0463"/>
    <w:rsid w:val="00FB1984"/>
    <w:rsid w:val="00FB36BF"/>
    <w:rsid w:val="00FB5EDE"/>
    <w:rsid w:val="00FC2BA4"/>
    <w:rsid w:val="00FC2E3B"/>
    <w:rsid w:val="00FC4F6A"/>
    <w:rsid w:val="00FD0E7A"/>
    <w:rsid w:val="00FD5ED7"/>
    <w:rsid w:val="00FD75D9"/>
    <w:rsid w:val="00FE0AC5"/>
    <w:rsid w:val="00FE1864"/>
    <w:rsid w:val="00FE68FC"/>
    <w:rsid w:val="00FF0660"/>
    <w:rsid w:val="00FF2217"/>
    <w:rsid w:val="00FF2690"/>
    <w:rsid w:val="00FF2718"/>
    <w:rsid w:val="00FF303C"/>
    <w:rsid w:val="00FF51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68BE40AD"/>
  <w15:docId w15:val="{868D7E82-414A-4D36-8A24-A3AD4867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link w:val="KommentartextZchn"/>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AB366E"/>
    <w:pPr>
      <w:ind w:right="1922"/>
    </w:pPr>
    <w:rPr>
      <w:rFonts w:ascii="Arial" w:hAnsi="Arial"/>
      <w:bCs/>
      <w:spacing w:val="-4"/>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AB366E"/>
    <w:pPr>
      <w:numPr>
        <w:numId w:val="5"/>
      </w:numPr>
      <w:ind w:left="357" w:right="1922" w:hanging="357"/>
    </w:pPr>
    <w:rPr>
      <w:rFonts w:ascii="Arial" w:hAnsi="Arial" w:cs="Arial"/>
      <w:b w:val="0"/>
      <w:color w:val="auto"/>
      <w:spacing w:val="-2"/>
      <w:sz w:val="24"/>
      <w:szCs w:val="24"/>
    </w:rPr>
  </w:style>
  <w:style w:type="paragraph" w:customStyle="1" w:styleId="MMFlietext">
    <w:name w:val="MM Fließtext"/>
    <w:basedOn w:val="Flietext"/>
    <w:link w:val="MMFlietextZchn"/>
    <w:autoRedefine/>
    <w:qFormat/>
    <w:rsid w:val="00D82A33"/>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D82A33"/>
    <w:pPr>
      <w:spacing w:before="480" w:line="360" w:lineRule="auto"/>
      <w:ind w:right="100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144A57"/>
    <w:pPr>
      <w:tabs>
        <w:tab w:val="left" w:pos="8505"/>
      </w:tabs>
      <w:spacing w:line="360" w:lineRule="auto"/>
      <w:ind w:right="1922"/>
    </w:pPr>
    <w:rPr>
      <w:rFonts w:ascii="Arial" w:hAnsi="Arial" w:cs="Arial"/>
      <w:b/>
      <w:spacing w:val="-2"/>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AB366E"/>
    <w:rPr>
      <w:rFonts w:ascii="Arial" w:hAnsi="Arial"/>
      <w:b/>
      <w:bCs/>
      <w:color w:val="112E6B"/>
      <w:spacing w:val="-4"/>
      <w:sz w:val="24"/>
      <w:szCs w:val="22"/>
      <w:lang w:val="de-DE" w:eastAsia="de-DE" w:bidi="ar-SA"/>
    </w:rPr>
  </w:style>
  <w:style w:type="character" w:customStyle="1" w:styleId="MMU2Zchn">
    <w:name w:val="MM U2 Zchn"/>
    <w:basedOn w:val="berschrift1Zchn"/>
    <w:link w:val="MMU2"/>
    <w:rsid w:val="00AB366E"/>
    <w:rPr>
      <w:rFonts w:ascii="Arial" w:hAnsi="Arial" w:cs="Arial"/>
      <w:b w:val="0"/>
      <w:color w:val="112E6B"/>
      <w:spacing w:val="-2"/>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82A33"/>
    <w:rPr>
      <w:rFonts w:ascii="Arial" w:hAnsi="Arial" w:cs="Arial"/>
      <w:sz w:val="22"/>
      <w:szCs w:val="22"/>
    </w:rPr>
  </w:style>
  <w:style w:type="character" w:customStyle="1" w:styleId="MMZwischenberschriftZchn">
    <w:name w:val="MM Zwischenüberschrift Zchn"/>
    <w:basedOn w:val="Absatz-Standardschriftart"/>
    <w:link w:val="MMZwischenberschrift"/>
    <w:rsid w:val="00144A57"/>
    <w:rPr>
      <w:rFonts w:ascii="Arial" w:hAnsi="Arial" w:cs="Arial"/>
      <w:b/>
      <w:spacing w:val="-2"/>
      <w:sz w:val="22"/>
      <w:szCs w:val="22"/>
    </w:rPr>
  </w:style>
  <w:style w:type="character" w:customStyle="1" w:styleId="MMKurzprofilberschriftZchn">
    <w:name w:val="MM Kurzprofil Überschrift Zchn"/>
    <w:basedOn w:val="Absatz-Standardschriftart"/>
    <w:link w:val="MMKurzprofilberschrift"/>
    <w:rsid w:val="00D82A33"/>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 w:type="character" w:customStyle="1" w:styleId="KommentartextZchn">
    <w:name w:val="Kommentartext Zchn"/>
    <w:basedOn w:val="Absatz-Standardschriftart"/>
    <w:link w:val="Kommentartext"/>
    <w:semiHidden/>
    <w:rsid w:val="002D7787"/>
  </w:style>
  <w:style w:type="character" w:customStyle="1" w:styleId="NichtaufgelsteErwhnung1">
    <w:name w:val="Nicht aufgelöste Erwähnung1"/>
    <w:basedOn w:val="Absatz-Standardschriftart"/>
    <w:uiPriority w:val="99"/>
    <w:semiHidden/>
    <w:unhideWhenUsed/>
    <w:rsid w:val="00996112"/>
    <w:rPr>
      <w:color w:val="605E5C"/>
      <w:shd w:val="clear" w:color="auto" w:fill="E1DFDD"/>
    </w:rPr>
  </w:style>
  <w:style w:type="paragraph" w:styleId="berarbeitung">
    <w:name w:val="Revision"/>
    <w:hidden/>
    <w:uiPriority w:val="99"/>
    <w:semiHidden/>
    <w:rsid w:val="00144A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1884">
      <w:bodyDiv w:val="1"/>
      <w:marLeft w:val="0"/>
      <w:marRight w:val="0"/>
      <w:marTop w:val="0"/>
      <w:marBottom w:val="0"/>
      <w:divBdr>
        <w:top w:val="none" w:sz="0" w:space="0" w:color="auto"/>
        <w:left w:val="none" w:sz="0" w:space="0" w:color="auto"/>
        <w:bottom w:val="none" w:sz="0" w:space="0" w:color="auto"/>
        <w:right w:val="none" w:sz="0" w:space="0" w:color="auto"/>
      </w:divBdr>
    </w:div>
    <w:div w:id="15145473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178348663">
      <w:bodyDiv w:val="1"/>
      <w:marLeft w:val="0"/>
      <w:marRight w:val="0"/>
      <w:marTop w:val="0"/>
      <w:marBottom w:val="0"/>
      <w:divBdr>
        <w:top w:val="none" w:sz="0" w:space="0" w:color="auto"/>
        <w:left w:val="none" w:sz="0" w:space="0" w:color="auto"/>
        <w:bottom w:val="none" w:sz="0" w:space="0" w:color="auto"/>
        <w:right w:val="none" w:sz="0" w:space="0" w:color="auto"/>
      </w:divBdr>
      <w:divsChild>
        <w:div w:id="65692727">
          <w:marLeft w:val="0"/>
          <w:marRight w:val="0"/>
          <w:marTop w:val="0"/>
          <w:marBottom w:val="0"/>
          <w:divBdr>
            <w:top w:val="none" w:sz="0" w:space="0" w:color="auto"/>
            <w:left w:val="none" w:sz="0" w:space="0" w:color="auto"/>
            <w:bottom w:val="none" w:sz="0" w:space="0" w:color="auto"/>
            <w:right w:val="none" w:sz="0" w:space="0" w:color="auto"/>
          </w:divBdr>
          <w:divsChild>
            <w:div w:id="1895197710">
              <w:marLeft w:val="0"/>
              <w:marRight w:val="0"/>
              <w:marTop w:val="0"/>
              <w:marBottom w:val="0"/>
              <w:divBdr>
                <w:top w:val="none" w:sz="0" w:space="0" w:color="auto"/>
                <w:left w:val="none" w:sz="0" w:space="0" w:color="auto"/>
                <w:bottom w:val="none" w:sz="0" w:space="0" w:color="auto"/>
                <w:right w:val="none" w:sz="0" w:space="0" w:color="auto"/>
              </w:divBdr>
              <w:divsChild>
                <w:div w:id="1565144694">
                  <w:marLeft w:val="0"/>
                  <w:marRight w:val="0"/>
                  <w:marTop w:val="0"/>
                  <w:marBottom w:val="0"/>
                  <w:divBdr>
                    <w:top w:val="none" w:sz="0" w:space="0" w:color="auto"/>
                    <w:left w:val="none" w:sz="0" w:space="0" w:color="auto"/>
                    <w:bottom w:val="none" w:sz="0" w:space="0" w:color="auto"/>
                    <w:right w:val="none" w:sz="0" w:space="0" w:color="auto"/>
                  </w:divBdr>
                  <w:divsChild>
                    <w:div w:id="810295854">
                      <w:marLeft w:val="0"/>
                      <w:marRight w:val="0"/>
                      <w:marTop w:val="0"/>
                      <w:marBottom w:val="0"/>
                      <w:divBdr>
                        <w:top w:val="none" w:sz="0" w:space="0" w:color="auto"/>
                        <w:left w:val="none" w:sz="0" w:space="0" w:color="auto"/>
                        <w:bottom w:val="none" w:sz="0" w:space="0" w:color="auto"/>
                        <w:right w:val="none" w:sz="0" w:space="0" w:color="auto"/>
                      </w:divBdr>
                      <w:divsChild>
                        <w:div w:id="414981637">
                          <w:marLeft w:val="0"/>
                          <w:marRight w:val="0"/>
                          <w:marTop w:val="0"/>
                          <w:marBottom w:val="0"/>
                          <w:divBdr>
                            <w:top w:val="none" w:sz="0" w:space="0" w:color="auto"/>
                            <w:left w:val="none" w:sz="0" w:space="0" w:color="auto"/>
                            <w:bottom w:val="none" w:sz="0" w:space="0" w:color="auto"/>
                            <w:right w:val="none" w:sz="0" w:space="0" w:color="auto"/>
                          </w:divBdr>
                          <w:divsChild>
                            <w:div w:id="1992322613">
                              <w:marLeft w:val="-225"/>
                              <w:marRight w:val="-225"/>
                              <w:marTop w:val="0"/>
                              <w:marBottom w:val="0"/>
                              <w:divBdr>
                                <w:top w:val="none" w:sz="0" w:space="0" w:color="auto"/>
                                <w:left w:val="none" w:sz="0" w:space="0" w:color="auto"/>
                                <w:bottom w:val="none" w:sz="0" w:space="0" w:color="auto"/>
                                <w:right w:val="none" w:sz="0" w:space="0" w:color="auto"/>
                              </w:divBdr>
                              <w:divsChild>
                                <w:div w:id="2027364988">
                                  <w:marLeft w:val="0"/>
                                  <w:marRight w:val="0"/>
                                  <w:marTop w:val="0"/>
                                  <w:marBottom w:val="0"/>
                                  <w:divBdr>
                                    <w:top w:val="none" w:sz="0" w:space="0" w:color="auto"/>
                                    <w:left w:val="none" w:sz="0" w:space="0" w:color="auto"/>
                                    <w:bottom w:val="none" w:sz="0" w:space="0" w:color="auto"/>
                                    <w:right w:val="none" w:sz="0" w:space="0" w:color="auto"/>
                                  </w:divBdr>
                                  <w:divsChild>
                                    <w:div w:id="1283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erhoeht-umsatzprognose-nach-guter-geschaeftsentwicklung-im-1-halbjahr/" TargetMode="External"/><Relationship Id="rId13" Type="http://schemas.openxmlformats.org/officeDocument/2006/relationships/image" Target="media/image2.pn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nkedin.com/company/leoni" TargetMode="External"/><Relationship Id="rId17" Type="http://schemas.openxmlformats.org/officeDocument/2006/relationships/hyperlink" Target="mailto:invest@leoni.com" TargetMode="Externa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oni.com/de/finanzpublikationen" TargetMode="External"/><Relationship Id="rId14" Type="http://schemas.openxmlformats.org/officeDocument/2006/relationships/hyperlink" Target="https://www.xing.com/companies/leoni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140C-5800-42F0-BD07-CE60C53C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6348A07A.dotm</Template>
  <TotalTime>0</TotalTime>
  <Pages>4</Pages>
  <Words>1085</Words>
  <Characters>7210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8279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4</cp:revision>
  <cp:lastPrinted>2018-08-10T09:28:00Z</cp:lastPrinted>
  <dcterms:created xsi:type="dcterms:W3CDTF">2018-08-10T09:28:00Z</dcterms:created>
  <dcterms:modified xsi:type="dcterms:W3CDTF">2018-08-10T09:29:00Z</dcterms:modified>
</cp:coreProperties>
</file>